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ascii="新宋体" w:hAnsi="新宋体" w:eastAsia="新宋体" w:cs="新宋体"/>
          <w:b/>
          <w:color w:val="000000" w:themeColor="text1"/>
          <w:sz w:val="20"/>
          <w:szCs w:val="20"/>
          <w:highlight w:val="none"/>
          <w:u w:val="none"/>
          <w:lang w:val="en-US" w:eastAsia="zh-CN"/>
          <w14:textFill>
            <w14:solidFill>
              <w14:schemeClr w14:val="tx1"/>
            </w14:solidFill>
          </w14:textFill>
        </w:rPr>
      </w:pPr>
      <w:r>
        <w:rPr>
          <w:rFonts w:hint="eastAsia" w:ascii="新宋体" w:hAnsi="新宋体" w:eastAsia="新宋体" w:cs="新宋体"/>
          <w:b/>
          <w:color w:val="000000" w:themeColor="text1"/>
          <w:sz w:val="20"/>
          <w:szCs w:val="20"/>
          <w:highlight w:val="none"/>
          <w:u w:val="none"/>
          <w:lang w:val="en-US" w:eastAsia="zh-CN"/>
          <w14:textFill>
            <w14:solidFill>
              <w14:schemeClr w14:val="tx1"/>
            </w14:solidFill>
          </w14:textFill>
        </w:rPr>
        <w:t>浙建监B1</w:t>
      </w:r>
    </w:p>
    <w:p>
      <w:pPr>
        <w:spacing w:line="360" w:lineRule="auto"/>
        <w:jc w:val="center"/>
        <w:rPr>
          <w:rFonts w:hint="eastAsia" w:ascii="新宋体" w:hAnsi="新宋体" w:eastAsia="新宋体" w:cs="新宋体"/>
          <w:b/>
          <w:color w:val="000000" w:themeColor="text1"/>
          <w:sz w:val="28"/>
          <w:szCs w:val="28"/>
          <w:highlight w:val="none"/>
          <w:u w:val="none"/>
          <w:lang w:val="en-US" w:eastAsia="zh-CN"/>
          <w14:textFill>
            <w14:solidFill>
              <w14:schemeClr w14:val="tx1"/>
            </w14:solidFill>
          </w14:textFill>
        </w:rPr>
      </w:pPr>
      <w:r>
        <w:rPr>
          <w:rFonts w:hint="eastAsia" w:ascii="新宋体" w:hAnsi="新宋体" w:eastAsia="新宋体" w:cs="新宋体"/>
          <w:b/>
          <w:color w:val="000000" w:themeColor="text1"/>
          <w:sz w:val="28"/>
          <w:szCs w:val="28"/>
          <w:highlight w:val="none"/>
          <w:u w:val="none"/>
          <w:lang w:val="en-US" w:eastAsia="zh-CN"/>
          <w14:textFill>
            <w14:solidFill>
              <w14:schemeClr w14:val="tx1"/>
            </w14:solidFill>
          </w14:textFill>
        </w:rPr>
        <w:t>水电安装专业工程施工方案报审表</w:t>
      </w:r>
    </w:p>
    <w:p>
      <w:pPr>
        <w:spacing w:line="360" w:lineRule="auto"/>
        <w:jc w:val="left"/>
        <w:rPr>
          <w:rFonts w:hint="eastAsia" w:ascii="新宋体" w:hAnsi="新宋体" w:eastAsia="新宋体" w:cs="新宋体"/>
          <w:b/>
          <w:color w:val="000000" w:themeColor="text1"/>
          <w:sz w:val="22"/>
          <w:szCs w:val="22"/>
          <w:highlight w:val="none"/>
          <w:u w:val="none"/>
          <w:lang w:val="en-US" w:eastAsia="zh-CN"/>
          <w14:textFill>
            <w14:solidFill>
              <w14:schemeClr w14:val="tx1"/>
            </w14:solidFill>
          </w14:textFill>
        </w:rPr>
      </w:pPr>
      <w:r>
        <w:rPr>
          <w:rFonts w:hint="eastAsia" w:ascii="新宋体" w:hAnsi="新宋体" w:eastAsia="新宋体" w:cs="新宋体"/>
          <w:b/>
          <w:color w:val="000000" w:themeColor="text1"/>
          <w:sz w:val="22"/>
          <w:szCs w:val="22"/>
          <w:highlight w:val="none"/>
          <w:u w:val="none"/>
          <w:lang w:val="en-US" w:eastAsia="zh-CN"/>
          <w14:textFill>
            <w14:solidFill>
              <w14:schemeClr w14:val="tx1"/>
            </w14:solidFill>
          </w14:textFill>
        </w:rPr>
        <w:t>工程名称：</w:t>
      </w:r>
      <w:r>
        <w:rPr>
          <w:rFonts w:hint="eastAsia" w:ascii="新宋体" w:hAnsi="新宋体" w:eastAsia="新宋体" w:cs="新宋体"/>
          <w:b/>
          <w:color w:val="000000" w:themeColor="text1"/>
          <w:sz w:val="22"/>
          <w:szCs w:val="22"/>
          <w:highlight w:val="none"/>
          <w:u w:val="single"/>
          <w:lang w:val="en-US" w:eastAsia="zh-CN"/>
          <w14:textFill>
            <w14:solidFill>
              <w14:schemeClr w14:val="tx1"/>
            </w14:solidFill>
          </w14:textFill>
        </w:rPr>
        <w:t>安博杭州仁和物流中心项目水电安装工程</w:t>
      </w:r>
    </w:p>
    <w:tbl>
      <w:tblPr>
        <w:tblStyle w:val="14"/>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4" w:hRule="atLeast"/>
        </w:trPr>
        <w:tc>
          <w:tcPr>
            <w:tcW w:w="8856" w:type="dxa"/>
          </w:tcPr>
          <w:p>
            <w:pPr>
              <w:spacing w:line="360" w:lineRule="auto"/>
              <w:jc w:val="left"/>
              <w:rPr>
                <w:rFonts w:hint="eastAsia" w:ascii="新宋体" w:hAnsi="新宋体" w:eastAsia="新宋体" w:cs="新宋体"/>
                <w:b w:val="0"/>
                <w:bCs/>
                <w:color w:val="000000" w:themeColor="text1"/>
                <w:sz w:val="20"/>
                <w:szCs w:val="20"/>
                <w:highlight w:val="none"/>
                <w:u w:val="single"/>
                <w:vertAlign w:val="baseline"/>
                <w:lang w:val="en-US" w:eastAsia="zh-CN"/>
                <w14:textFill>
                  <w14:solidFill>
                    <w14:schemeClr w14:val="tx1"/>
                  </w14:solidFill>
                </w14:textFill>
              </w:rPr>
            </w:pPr>
            <w:r>
              <w:rPr>
                <w:rFonts w:hint="eastAsia" w:ascii="新宋体" w:hAnsi="新宋体" w:eastAsia="新宋体" w:cs="新宋体"/>
                <w:b w:val="0"/>
                <w:bCs/>
                <w:color w:val="000000" w:themeColor="text1"/>
                <w:sz w:val="20"/>
                <w:szCs w:val="20"/>
                <w:highlight w:val="none"/>
                <w:u w:val="none"/>
                <w:vertAlign w:val="baseline"/>
                <w:lang w:val="en-US" w:eastAsia="zh-CN"/>
                <w14:textFill>
                  <w14:solidFill>
                    <w14:schemeClr w14:val="tx1"/>
                  </w14:solidFill>
                </w14:textFill>
              </w:rPr>
              <w:t>致：</w:t>
            </w:r>
            <w:r>
              <w:rPr>
                <w:rFonts w:hint="eastAsia" w:ascii="新宋体" w:hAnsi="新宋体" w:eastAsia="新宋体" w:cs="新宋体"/>
                <w:b w:val="0"/>
                <w:bCs/>
                <w:color w:val="000000" w:themeColor="text1"/>
                <w:sz w:val="20"/>
                <w:szCs w:val="20"/>
                <w:highlight w:val="none"/>
                <w:u w:val="single"/>
                <w:vertAlign w:val="baseline"/>
                <w:lang w:val="en-US" w:eastAsia="zh-CN"/>
                <w14:textFill>
                  <w14:solidFill>
                    <w14:schemeClr w14:val="tx1"/>
                  </w14:solidFill>
                </w14:textFill>
              </w:rPr>
              <w:t>浙江同州项目管理有限公司（项目监理机构）</w:t>
            </w:r>
          </w:p>
          <w:p>
            <w:pPr>
              <w:spacing w:line="360" w:lineRule="auto"/>
              <w:jc w:val="left"/>
              <w:rPr>
                <w:rFonts w:hint="eastAsia" w:ascii="新宋体" w:hAnsi="新宋体" w:eastAsia="新宋体" w:cs="新宋体"/>
                <w:b w:val="0"/>
                <w:bCs/>
                <w:color w:val="000000" w:themeColor="text1"/>
                <w:sz w:val="20"/>
                <w:szCs w:val="20"/>
                <w:highlight w:val="none"/>
                <w:u w:val="none"/>
                <w:lang w:val="en-US" w:eastAsia="zh-CN"/>
                <w14:textFill>
                  <w14:solidFill>
                    <w14:schemeClr w14:val="tx1"/>
                  </w14:solidFill>
                </w14:textFill>
              </w:rPr>
            </w:pPr>
            <w:r>
              <w:rPr>
                <w:rFonts w:hint="eastAsia" w:ascii="新宋体" w:hAnsi="新宋体" w:eastAsia="新宋体" w:cs="新宋体"/>
                <w:b w:val="0"/>
                <w:bCs/>
                <w:color w:val="000000" w:themeColor="text1"/>
                <w:sz w:val="20"/>
                <w:szCs w:val="20"/>
                <w:highlight w:val="none"/>
                <w:u w:val="none"/>
                <w:vertAlign w:val="baseline"/>
                <w:lang w:val="en-US" w:eastAsia="zh-CN"/>
                <w14:textFill>
                  <w14:solidFill>
                    <w14:schemeClr w14:val="tx1"/>
                  </w14:solidFill>
                </w14:textFill>
              </w:rPr>
              <w:t>我方已完成</w:t>
            </w:r>
            <w:r>
              <w:rPr>
                <w:rFonts w:hint="eastAsia" w:ascii="新宋体" w:hAnsi="新宋体" w:eastAsia="新宋体" w:cs="新宋体"/>
                <w:b/>
                <w:color w:val="000000" w:themeColor="text1"/>
                <w:sz w:val="20"/>
                <w:szCs w:val="20"/>
                <w:highlight w:val="none"/>
                <w:u w:val="single"/>
                <w:lang w:val="en-US" w:eastAsia="zh-CN"/>
                <w14:textFill>
                  <w14:solidFill>
                    <w14:schemeClr w14:val="tx1"/>
                  </w14:solidFill>
                </w14:textFill>
              </w:rPr>
              <w:t>安博杭州仁和物流中心项目水电工程</w:t>
            </w:r>
            <w:r>
              <w:rPr>
                <w:rFonts w:hint="eastAsia" w:ascii="新宋体" w:hAnsi="新宋体" w:eastAsia="新宋体" w:cs="新宋体"/>
                <w:b w:val="0"/>
                <w:bCs/>
                <w:color w:val="000000" w:themeColor="text1"/>
                <w:sz w:val="20"/>
                <w:szCs w:val="20"/>
                <w:highlight w:val="none"/>
                <w:u w:val="none"/>
                <w:lang w:val="en-US" w:eastAsia="zh-CN"/>
                <w14:textFill>
                  <w14:solidFill>
                    <w14:schemeClr w14:val="tx1"/>
                  </w14:solidFill>
                </w14:textFill>
              </w:rPr>
              <w:t>施工方案的编制，并按规定已完成相关审批手续，请予以审查。</w:t>
            </w:r>
          </w:p>
          <w:p>
            <w:pPr>
              <w:spacing w:line="360" w:lineRule="auto"/>
              <w:ind w:firstLine="800" w:firstLineChars="400"/>
              <w:jc w:val="left"/>
              <w:rPr>
                <w:rFonts w:hint="eastAsia" w:ascii="新宋体" w:hAnsi="新宋体" w:eastAsia="新宋体" w:cs="新宋体"/>
                <w:b w:val="0"/>
                <w:bCs/>
                <w:color w:val="000000" w:themeColor="text1"/>
                <w:sz w:val="20"/>
                <w:szCs w:val="20"/>
                <w:highlight w:val="none"/>
                <w:u w:val="none"/>
                <w:lang w:val="en-US" w:eastAsia="zh-CN"/>
                <w14:textFill>
                  <w14:solidFill>
                    <w14:schemeClr w14:val="tx1"/>
                  </w14:solidFill>
                </w14:textFill>
              </w:rPr>
            </w:pPr>
            <w:r>
              <w:rPr>
                <w:rFonts w:hint="eastAsia" w:ascii="新宋体" w:hAnsi="新宋体" w:eastAsia="新宋体" w:cs="新宋体"/>
                <w:b w:val="0"/>
                <w:bCs/>
                <w:color w:val="000000" w:themeColor="text1"/>
                <w:sz w:val="20"/>
                <w:szCs w:val="20"/>
                <w:highlight w:val="none"/>
                <w:u w:val="none"/>
                <w:lang w:val="en-US" w:eastAsia="zh-CN"/>
                <w14:textFill>
                  <w14:solidFill>
                    <w14:schemeClr w14:val="tx1"/>
                  </w14:solidFill>
                </w14:textFill>
              </w:rPr>
              <w:t>附：□施工组织设计</w:t>
            </w:r>
          </w:p>
          <w:p>
            <w:pPr>
              <w:spacing w:line="360" w:lineRule="auto"/>
              <w:ind w:firstLine="1200" w:firstLineChars="600"/>
              <w:jc w:val="left"/>
              <w:rPr>
                <w:rFonts w:hint="eastAsia" w:ascii="新宋体" w:hAnsi="新宋体" w:eastAsia="新宋体" w:cs="新宋体"/>
                <w:b w:val="0"/>
                <w:bCs/>
                <w:color w:val="000000" w:themeColor="text1"/>
                <w:sz w:val="20"/>
                <w:szCs w:val="20"/>
                <w:highlight w:val="none"/>
                <w:u w:val="none"/>
                <w:lang w:val="en-US" w:eastAsia="zh-CN"/>
                <w14:textFill>
                  <w14:solidFill>
                    <w14:schemeClr w14:val="tx1"/>
                  </w14:solidFill>
                </w14:textFill>
              </w:rPr>
            </w:pPr>
            <w:r>
              <w:rPr>
                <w:rFonts w:hint="eastAsia" w:ascii="新宋体" w:hAnsi="新宋体" w:eastAsia="新宋体" w:cs="新宋体"/>
                <w:b w:val="0"/>
                <w:bCs/>
                <w:color w:val="000000" w:themeColor="text1"/>
                <w:sz w:val="20"/>
                <w:szCs w:val="20"/>
                <w:highlight w:val="none"/>
                <w:u w:val="none"/>
                <w:lang w:val="en-US" w:eastAsia="zh-CN"/>
                <w14:textFill>
                  <w14:solidFill>
                    <w14:schemeClr w14:val="tx1"/>
                  </w14:solidFill>
                </w14:textFill>
              </w:rPr>
              <w:t>□专项施工方案</w:t>
            </w:r>
          </w:p>
          <w:p>
            <w:pPr>
              <w:spacing w:line="360" w:lineRule="auto"/>
              <w:ind w:firstLine="1200" w:firstLineChars="600"/>
              <w:jc w:val="left"/>
              <w:rPr>
                <w:rFonts w:hint="eastAsia" w:ascii="新宋体" w:hAnsi="新宋体" w:eastAsia="新宋体" w:cs="新宋体"/>
                <w:b w:val="0"/>
                <w:bCs/>
                <w:color w:val="000000" w:themeColor="text1"/>
                <w:sz w:val="20"/>
                <w:szCs w:val="20"/>
                <w:highlight w:val="none"/>
                <w:u w:val="none"/>
                <w:lang w:val="en-US" w:eastAsia="zh-CN"/>
                <w14:textFill>
                  <w14:solidFill>
                    <w14:schemeClr w14:val="tx1"/>
                  </w14:solidFill>
                </w14:textFill>
              </w:rPr>
            </w:pPr>
            <w:r>
              <w:rPr>
                <w:rFonts w:hint="eastAsia" w:ascii="新宋体" w:hAnsi="新宋体" w:eastAsia="新宋体" w:cs="新宋体"/>
                <w:b w:val="0"/>
                <w:bCs/>
                <w:color w:val="000000" w:themeColor="text1"/>
                <w:sz w:val="20"/>
                <w:szCs w:val="20"/>
                <w:highlight w:val="none"/>
                <w:u w:val="none"/>
                <w:lang w:val="en-US" w:eastAsia="zh-CN"/>
                <w14:textFill>
                  <w14:solidFill>
                    <w14:schemeClr w14:val="tx1"/>
                  </w14:solidFill>
                </w14:textFill>
              </w:rPr>
              <w:t>□施工方案</w:t>
            </w:r>
          </w:p>
          <w:p>
            <w:pPr>
              <w:spacing w:line="360" w:lineRule="auto"/>
              <w:jc w:val="left"/>
              <w:rPr>
                <w:rFonts w:hint="eastAsia" w:ascii="新宋体" w:hAnsi="新宋体" w:eastAsia="新宋体" w:cs="新宋体"/>
                <w:b w:val="0"/>
                <w:bCs/>
                <w:color w:val="000000" w:themeColor="text1"/>
                <w:sz w:val="20"/>
                <w:szCs w:val="20"/>
                <w:highlight w:val="none"/>
                <w:u w:val="none"/>
                <w:lang w:val="en-US" w:eastAsia="zh-CN"/>
                <w14:textFill>
                  <w14:solidFill>
                    <w14:schemeClr w14:val="tx1"/>
                  </w14:solidFill>
                </w14:textFill>
              </w:rPr>
            </w:pPr>
          </w:p>
          <w:p>
            <w:pPr>
              <w:spacing w:line="360" w:lineRule="auto"/>
              <w:jc w:val="left"/>
              <w:rPr>
                <w:rFonts w:hint="eastAsia" w:ascii="新宋体" w:hAnsi="新宋体" w:eastAsia="新宋体" w:cs="新宋体"/>
                <w:b w:val="0"/>
                <w:bCs/>
                <w:color w:val="000000" w:themeColor="text1"/>
                <w:sz w:val="20"/>
                <w:szCs w:val="20"/>
                <w:highlight w:val="none"/>
                <w:u w:val="none"/>
                <w:vertAlign w:val="baseline"/>
                <w:lang w:val="en-US" w:eastAsia="zh-CN"/>
                <w14:textFill>
                  <w14:solidFill>
                    <w14:schemeClr w14:val="tx1"/>
                  </w14:solidFill>
                </w14:textFill>
              </w:rPr>
            </w:pPr>
          </w:p>
          <w:p>
            <w:pPr>
              <w:spacing w:line="360" w:lineRule="auto"/>
              <w:jc w:val="left"/>
              <w:rPr>
                <w:rFonts w:hint="eastAsia" w:ascii="新宋体" w:hAnsi="新宋体" w:eastAsia="新宋体" w:cs="新宋体"/>
                <w:b w:val="0"/>
                <w:bCs/>
                <w:color w:val="000000" w:themeColor="text1"/>
                <w:sz w:val="20"/>
                <w:szCs w:val="20"/>
                <w:highlight w:val="none"/>
                <w:u w:val="none"/>
                <w:vertAlign w:val="baseline"/>
                <w:lang w:val="en-US" w:eastAsia="zh-CN"/>
                <w14:textFill>
                  <w14:solidFill>
                    <w14:schemeClr w14:val="tx1"/>
                  </w14:solidFill>
                </w14:textFill>
              </w:rPr>
            </w:pPr>
          </w:p>
          <w:p>
            <w:pPr>
              <w:spacing w:line="360" w:lineRule="auto"/>
              <w:jc w:val="left"/>
              <w:rPr>
                <w:rFonts w:hint="eastAsia" w:ascii="新宋体" w:hAnsi="新宋体" w:eastAsia="新宋体" w:cs="新宋体"/>
                <w:b w:val="0"/>
                <w:bCs/>
                <w:color w:val="000000" w:themeColor="text1"/>
                <w:sz w:val="20"/>
                <w:szCs w:val="20"/>
                <w:highlight w:val="none"/>
                <w:u w:val="none"/>
                <w:vertAlign w:val="baseline"/>
                <w:lang w:val="en-US" w:eastAsia="zh-CN"/>
                <w14:textFill>
                  <w14:solidFill>
                    <w14:schemeClr w14:val="tx1"/>
                  </w14:solidFill>
                </w14:textFill>
              </w:rPr>
            </w:pPr>
            <w:r>
              <w:rPr>
                <w:rFonts w:hint="eastAsia" w:ascii="新宋体" w:hAnsi="新宋体" w:eastAsia="新宋体" w:cs="新宋体"/>
                <w:b w:val="0"/>
                <w:bCs/>
                <w:color w:val="000000" w:themeColor="text1"/>
                <w:sz w:val="20"/>
                <w:szCs w:val="20"/>
                <w:highlight w:val="none"/>
                <w:u w:val="none"/>
                <w:vertAlign w:val="baseline"/>
                <w:lang w:val="en-US" w:eastAsia="zh-CN"/>
                <w14:textFill>
                  <w14:solidFill>
                    <w14:schemeClr w14:val="tx1"/>
                  </w14:solidFill>
                </w14:textFill>
              </w:rPr>
              <w:t xml:space="preserve">                                                        施工项目部（盖章）</w:t>
            </w:r>
          </w:p>
          <w:p>
            <w:pPr>
              <w:spacing w:line="360" w:lineRule="auto"/>
              <w:jc w:val="left"/>
              <w:rPr>
                <w:rFonts w:hint="eastAsia" w:ascii="新宋体" w:hAnsi="新宋体" w:eastAsia="新宋体" w:cs="新宋体"/>
                <w:b w:val="0"/>
                <w:bCs/>
                <w:color w:val="000000" w:themeColor="text1"/>
                <w:sz w:val="20"/>
                <w:szCs w:val="20"/>
                <w:highlight w:val="none"/>
                <w:u w:val="none"/>
                <w:vertAlign w:val="baseline"/>
                <w:lang w:val="en-US" w:eastAsia="zh-CN"/>
                <w14:textFill>
                  <w14:solidFill>
                    <w14:schemeClr w14:val="tx1"/>
                  </w14:solidFill>
                </w14:textFill>
              </w:rPr>
            </w:pPr>
            <w:r>
              <w:rPr>
                <w:rFonts w:hint="eastAsia" w:ascii="新宋体" w:hAnsi="新宋体" w:eastAsia="新宋体" w:cs="新宋体"/>
                <w:b w:val="0"/>
                <w:bCs/>
                <w:color w:val="000000" w:themeColor="text1"/>
                <w:sz w:val="20"/>
                <w:szCs w:val="20"/>
                <w:highlight w:val="none"/>
                <w:u w:val="none"/>
                <w:vertAlign w:val="baseline"/>
                <w:lang w:val="en-US" w:eastAsia="zh-CN"/>
                <w14:textFill>
                  <w14:solidFill>
                    <w14:schemeClr w14:val="tx1"/>
                  </w14:solidFill>
                </w14:textFill>
              </w:rPr>
              <w:t xml:space="preserve">                                                         2017年  月   日</w:t>
            </w:r>
          </w:p>
          <w:p>
            <w:pPr>
              <w:spacing w:line="360" w:lineRule="auto"/>
              <w:jc w:val="left"/>
              <w:rPr>
                <w:rFonts w:hint="eastAsia" w:ascii="新宋体" w:hAnsi="新宋体" w:eastAsia="新宋体" w:cs="新宋体"/>
                <w:b w:val="0"/>
                <w:bCs/>
                <w:color w:val="000000" w:themeColor="text1"/>
                <w:sz w:val="20"/>
                <w:szCs w:val="20"/>
                <w:highlight w:val="none"/>
                <w:u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6" w:hRule="atLeast"/>
        </w:trPr>
        <w:tc>
          <w:tcPr>
            <w:tcW w:w="8856" w:type="dxa"/>
          </w:tcPr>
          <w:p>
            <w:pPr>
              <w:spacing w:line="360" w:lineRule="auto"/>
              <w:jc w:val="left"/>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pPr>
            <w:r>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t>审查意见：</w:t>
            </w:r>
          </w:p>
          <w:p>
            <w:pPr>
              <w:spacing w:line="360" w:lineRule="auto"/>
              <w:jc w:val="left"/>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pPr>
          </w:p>
          <w:p>
            <w:pPr>
              <w:spacing w:line="360" w:lineRule="auto"/>
              <w:jc w:val="left"/>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pPr>
          </w:p>
          <w:p>
            <w:pPr>
              <w:spacing w:line="360" w:lineRule="auto"/>
              <w:jc w:val="left"/>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pPr>
          </w:p>
          <w:p>
            <w:pPr>
              <w:spacing w:line="360" w:lineRule="auto"/>
              <w:jc w:val="left"/>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pPr>
            <w:r>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t xml:space="preserve">                                                 专业监理工程师（签字）</w:t>
            </w:r>
          </w:p>
          <w:p>
            <w:pPr>
              <w:spacing w:line="360" w:lineRule="auto"/>
              <w:jc w:val="center"/>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pPr>
            <w:r>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t xml:space="preserve">                                       2017年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2" w:hRule="atLeast"/>
        </w:trPr>
        <w:tc>
          <w:tcPr>
            <w:tcW w:w="8856" w:type="dxa"/>
          </w:tcPr>
          <w:p>
            <w:pPr>
              <w:spacing w:line="360" w:lineRule="auto"/>
              <w:jc w:val="left"/>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pPr>
            <w:r>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t>审查意见：</w:t>
            </w:r>
          </w:p>
          <w:p>
            <w:pPr>
              <w:spacing w:line="360" w:lineRule="auto"/>
              <w:jc w:val="left"/>
              <w:rPr>
                <w:rFonts w:hint="eastAsia" w:ascii="新宋体" w:hAnsi="新宋体" w:eastAsia="新宋体" w:cs="新宋体"/>
                <w:b w:val="0"/>
                <w:bCs/>
                <w:color w:val="000000" w:themeColor="text1"/>
                <w:sz w:val="22"/>
                <w:szCs w:val="22"/>
                <w:highlight w:val="none"/>
                <w:u w:val="none"/>
                <w:vertAlign w:val="baseline"/>
                <w14:textFill>
                  <w14:solidFill>
                    <w14:schemeClr w14:val="tx1"/>
                  </w14:solidFill>
                </w14:textFill>
              </w:rPr>
            </w:pPr>
          </w:p>
          <w:p>
            <w:pPr>
              <w:spacing w:line="360" w:lineRule="auto"/>
              <w:jc w:val="left"/>
              <w:rPr>
                <w:rFonts w:hint="eastAsia" w:ascii="新宋体" w:hAnsi="新宋体" w:eastAsia="新宋体" w:cs="新宋体"/>
                <w:b w:val="0"/>
                <w:bCs/>
                <w:color w:val="000000" w:themeColor="text1"/>
                <w:sz w:val="22"/>
                <w:szCs w:val="22"/>
                <w:highlight w:val="none"/>
                <w:u w:val="none"/>
                <w:vertAlign w:val="baseline"/>
                <w14:textFill>
                  <w14:solidFill>
                    <w14:schemeClr w14:val="tx1"/>
                  </w14:solidFill>
                </w14:textFill>
              </w:rPr>
            </w:pPr>
          </w:p>
          <w:p>
            <w:pPr>
              <w:spacing w:line="360" w:lineRule="auto"/>
              <w:jc w:val="left"/>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pPr>
            <w:r>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t xml:space="preserve">                                                   项目监理机构（盖章）                                               </w:t>
            </w:r>
          </w:p>
          <w:p>
            <w:pPr>
              <w:spacing w:line="360" w:lineRule="auto"/>
              <w:jc w:val="left"/>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pPr>
            <w:r>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t xml:space="preserve">                                                   总监理工程师（签字）</w:t>
            </w:r>
          </w:p>
          <w:p>
            <w:pPr>
              <w:spacing w:line="360" w:lineRule="auto"/>
              <w:jc w:val="center"/>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pPr>
            <w:r>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t xml:space="preserve">                                          2017年   月    日</w:t>
            </w:r>
          </w:p>
          <w:p>
            <w:pPr>
              <w:spacing w:line="360" w:lineRule="auto"/>
              <w:jc w:val="center"/>
              <w:rPr>
                <w:rFonts w:hint="eastAsia" w:ascii="新宋体" w:hAnsi="新宋体" w:eastAsia="新宋体" w:cs="新宋体"/>
                <w:b w:val="0"/>
                <w:bCs/>
                <w:color w:val="000000" w:themeColor="text1"/>
                <w:sz w:val="22"/>
                <w:szCs w:val="22"/>
                <w:highlight w:val="none"/>
                <w:u w:val="none"/>
                <w:vertAlign w:val="baseline"/>
                <w:lang w:val="en-US" w:eastAsia="zh-CN"/>
                <w14:textFill>
                  <w14:solidFill>
                    <w14:schemeClr w14:val="tx1"/>
                  </w14:solidFill>
                </w14:textFill>
              </w:rPr>
            </w:pPr>
          </w:p>
        </w:tc>
      </w:tr>
    </w:tbl>
    <w:p>
      <w:pPr>
        <w:spacing w:line="360" w:lineRule="auto"/>
        <w:jc w:val="both"/>
        <w:rPr>
          <w:rFonts w:hint="eastAsia" w:ascii="楷体" w:hAnsi="楷体" w:eastAsia="楷体" w:cs="楷体"/>
          <w:b/>
          <w:color w:val="000000" w:themeColor="text1"/>
          <w:sz w:val="48"/>
          <w:szCs w:val="48"/>
          <w:highlight w:val="none"/>
          <w:u w:val="double"/>
          <w14:textFill>
            <w14:solidFill>
              <w14:schemeClr w14:val="tx1"/>
            </w14:solidFill>
          </w14:textFill>
        </w:rPr>
      </w:pPr>
      <w:r>
        <w:rPr>
          <w:rFonts w:hint="eastAsia" w:ascii="新宋体" w:hAnsi="新宋体" w:eastAsia="新宋体" w:cs="新宋体"/>
          <w:b w:val="0"/>
          <w:bCs/>
          <w:color w:val="000000" w:themeColor="text1"/>
          <w:sz w:val="22"/>
          <w:szCs w:val="22"/>
          <w:highlight w:val="none"/>
          <w:u w:val="none"/>
          <w:lang w:val="en-US" w:eastAsia="zh-CN"/>
          <w14:textFill>
            <w14:solidFill>
              <w14:schemeClr w14:val="tx1"/>
            </w14:solidFill>
          </w14:textFill>
        </w:rPr>
        <w:t>注：本表一式三份，项目监理机构、建设单位、施工单位</w:t>
      </w:r>
    </w:p>
    <w:p>
      <w:pPr>
        <w:jc w:val="center"/>
        <w:rPr>
          <w:rFonts w:hint="eastAsia" w:ascii="楷体" w:hAnsi="楷体" w:eastAsia="楷体" w:cs="楷体"/>
          <w:b/>
          <w:color w:val="000000" w:themeColor="text1"/>
          <w:sz w:val="48"/>
          <w:szCs w:val="48"/>
          <w:highlight w:val="none"/>
          <w:u w:val="double"/>
          <w14:textFill>
            <w14:solidFill>
              <w14:schemeClr w14:val="tx1"/>
            </w14:solidFill>
          </w14:textFill>
        </w:rPr>
      </w:pPr>
    </w:p>
    <w:p>
      <w:pPr>
        <w:jc w:val="center"/>
        <w:rPr>
          <w:rFonts w:hint="eastAsia" w:ascii="楷体" w:hAnsi="楷体" w:eastAsia="楷体" w:cs="楷体"/>
          <w:b/>
          <w:color w:val="000000" w:themeColor="text1"/>
          <w:sz w:val="48"/>
          <w:szCs w:val="48"/>
          <w:highlight w:val="none"/>
          <w:u w:val="double"/>
          <w14:textFill>
            <w14:solidFill>
              <w14:schemeClr w14:val="tx1"/>
            </w14:solidFill>
          </w14:textFill>
        </w:rPr>
      </w:pPr>
    </w:p>
    <w:p>
      <w:pPr>
        <w:jc w:val="center"/>
        <w:rPr>
          <w:rFonts w:hint="eastAsia" w:ascii="楷体" w:hAnsi="楷体" w:eastAsia="楷体" w:cs="楷体"/>
          <w:b/>
          <w:color w:val="000000" w:themeColor="text1"/>
          <w:sz w:val="52"/>
          <w:szCs w:val="52"/>
          <w:highlight w:val="none"/>
          <w:u w:val="double"/>
          <w14:textFill>
            <w14:solidFill>
              <w14:schemeClr w14:val="tx1"/>
            </w14:solidFill>
          </w14:textFill>
        </w:rPr>
      </w:pPr>
      <w:r>
        <w:rPr>
          <w:rFonts w:hint="eastAsia" w:ascii="楷体" w:hAnsi="楷体" w:eastAsia="楷体" w:cs="楷体"/>
          <w:b/>
          <w:color w:val="000000" w:themeColor="text1"/>
          <w:sz w:val="52"/>
          <w:szCs w:val="52"/>
          <w:highlight w:val="none"/>
          <w:u w:val="double"/>
          <w14:textFill>
            <w14:solidFill>
              <w14:schemeClr w14:val="tx1"/>
            </w14:solidFill>
          </w14:textFill>
        </w:rPr>
        <w:t>安博杭州仁和物流中心项目</w:t>
      </w:r>
    </w:p>
    <w:p>
      <w:pPr>
        <w:jc w:val="both"/>
        <w:rPr>
          <w:rFonts w:ascii="宋体" w:hAnsi="宋体"/>
          <w:b/>
          <w:color w:val="000000" w:themeColor="text1"/>
          <w:sz w:val="48"/>
          <w:szCs w:val="48"/>
          <w:highlight w:val="none"/>
          <w14:textFill>
            <w14:solidFill>
              <w14:schemeClr w14:val="tx1"/>
            </w14:solidFill>
          </w14:textFill>
        </w:rPr>
      </w:pPr>
    </w:p>
    <w:p>
      <w:pPr>
        <w:jc w:val="center"/>
        <w:rPr>
          <w:rFonts w:hint="eastAsia" w:ascii="宋体" w:hAnsi="宋体"/>
          <w:b/>
          <w:color w:val="000000" w:themeColor="text1"/>
          <w:sz w:val="48"/>
          <w:szCs w:val="48"/>
          <w:highlight w:val="none"/>
          <w:lang w:eastAsia="zh-CN"/>
          <w14:textFill>
            <w14:solidFill>
              <w14:schemeClr w14:val="tx1"/>
            </w14:solidFill>
          </w14:textFill>
        </w:rPr>
      </w:pPr>
      <w:r>
        <w:rPr>
          <w:rFonts w:hint="eastAsia" w:ascii="宋体" w:hAnsi="宋体"/>
          <w:b/>
          <w:color w:val="000000" w:themeColor="text1"/>
          <w:sz w:val="48"/>
          <w:szCs w:val="48"/>
          <w:highlight w:val="none"/>
          <w:lang w:eastAsia="zh-CN"/>
          <w14:textFill>
            <w14:solidFill>
              <w14:schemeClr w14:val="tx1"/>
            </w14:solidFill>
          </w14:textFill>
        </w:rPr>
        <w:t>水</w:t>
      </w:r>
    </w:p>
    <w:p>
      <w:pPr>
        <w:jc w:val="center"/>
        <w:rPr>
          <w:rFonts w:hint="eastAsia" w:ascii="宋体" w:hAnsi="宋体"/>
          <w:b/>
          <w:color w:val="000000" w:themeColor="text1"/>
          <w:sz w:val="48"/>
          <w:szCs w:val="48"/>
          <w:highlight w:val="none"/>
          <w:lang w:eastAsia="zh-CN"/>
          <w14:textFill>
            <w14:solidFill>
              <w14:schemeClr w14:val="tx1"/>
            </w14:solidFill>
          </w14:textFill>
        </w:rPr>
      </w:pPr>
    </w:p>
    <w:p>
      <w:pPr>
        <w:jc w:val="center"/>
        <w:rPr>
          <w:rFonts w:hint="eastAsia" w:ascii="宋体" w:hAnsi="宋体"/>
          <w:b/>
          <w:color w:val="000000" w:themeColor="text1"/>
          <w:sz w:val="48"/>
          <w:szCs w:val="48"/>
          <w:highlight w:val="none"/>
          <w:lang w:eastAsia="zh-CN"/>
          <w14:textFill>
            <w14:solidFill>
              <w14:schemeClr w14:val="tx1"/>
            </w14:solidFill>
          </w14:textFill>
        </w:rPr>
      </w:pPr>
      <w:r>
        <w:rPr>
          <w:rFonts w:hint="eastAsia" w:ascii="宋体" w:hAnsi="宋体"/>
          <w:b/>
          <w:color w:val="000000" w:themeColor="text1"/>
          <w:sz w:val="48"/>
          <w:szCs w:val="48"/>
          <w:highlight w:val="none"/>
          <w:lang w:eastAsia="zh-CN"/>
          <w14:textFill>
            <w14:solidFill>
              <w14:schemeClr w14:val="tx1"/>
            </w14:solidFill>
          </w14:textFill>
        </w:rPr>
        <w:t>电</w:t>
      </w:r>
    </w:p>
    <w:p>
      <w:pPr>
        <w:jc w:val="center"/>
        <w:rPr>
          <w:rFonts w:hint="eastAsia" w:ascii="宋体" w:hAnsi="宋体"/>
          <w:b/>
          <w:color w:val="000000" w:themeColor="text1"/>
          <w:sz w:val="48"/>
          <w:szCs w:val="48"/>
          <w:highlight w:val="none"/>
          <w:lang w:eastAsia="zh-CN"/>
          <w14:textFill>
            <w14:solidFill>
              <w14:schemeClr w14:val="tx1"/>
            </w14:solidFill>
          </w14:textFill>
        </w:rPr>
      </w:pPr>
    </w:p>
    <w:p>
      <w:pPr>
        <w:jc w:val="center"/>
        <w:rPr>
          <w:rFonts w:hint="eastAsia" w:ascii="宋体" w:hAnsi="宋体"/>
          <w:b/>
          <w:color w:val="000000" w:themeColor="text1"/>
          <w:sz w:val="48"/>
          <w:szCs w:val="48"/>
          <w:highlight w:val="none"/>
          <w14:textFill>
            <w14:solidFill>
              <w14:schemeClr w14:val="tx1"/>
            </w14:solidFill>
          </w14:textFill>
        </w:rPr>
      </w:pPr>
      <w:r>
        <w:rPr>
          <w:rFonts w:hint="eastAsia" w:ascii="宋体" w:hAnsi="宋体"/>
          <w:b/>
          <w:color w:val="000000" w:themeColor="text1"/>
          <w:sz w:val="48"/>
          <w:szCs w:val="48"/>
          <w:highlight w:val="none"/>
          <w14:textFill>
            <w14:solidFill>
              <w14:schemeClr w14:val="tx1"/>
            </w14:solidFill>
          </w14:textFill>
        </w:rPr>
        <w:t>施</w:t>
      </w:r>
    </w:p>
    <w:p>
      <w:pPr>
        <w:jc w:val="center"/>
        <w:rPr>
          <w:rFonts w:hint="eastAsia" w:ascii="宋体" w:hAnsi="宋体"/>
          <w:b/>
          <w:color w:val="000000" w:themeColor="text1"/>
          <w:sz w:val="48"/>
          <w:szCs w:val="48"/>
          <w:highlight w:val="none"/>
          <w14:textFill>
            <w14:solidFill>
              <w14:schemeClr w14:val="tx1"/>
            </w14:solidFill>
          </w14:textFill>
        </w:rPr>
      </w:pPr>
    </w:p>
    <w:p>
      <w:pPr>
        <w:jc w:val="center"/>
        <w:rPr>
          <w:rFonts w:hint="eastAsia" w:ascii="宋体" w:hAnsi="宋体"/>
          <w:b/>
          <w:color w:val="000000" w:themeColor="text1"/>
          <w:sz w:val="48"/>
          <w:szCs w:val="48"/>
          <w:highlight w:val="none"/>
          <w14:textFill>
            <w14:solidFill>
              <w14:schemeClr w14:val="tx1"/>
            </w14:solidFill>
          </w14:textFill>
        </w:rPr>
      </w:pPr>
      <w:r>
        <w:rPr>
          <w:rFonts w:hint="eastAsia" w:ascii="宋体" w:hAnsi="宋体"/>
          <w:b/>
          <w:color w:val="000000" w:themeColor="text1"/>
          <w:sz w:val="48"/>
          <w:szCs w:val="48"/>
          <w:highlight w:val="none"/>
          <w14:textFill>
            <w14:solidFill>
              <w14:schemeClr w14:val="tx1"/>
            </w14:solidFill>
          </w14:textFill>
        </w:rPr>
        <w:t>工</w:t>
      </w:r>
    </w:p>
    <w:p>
      <w:pPr>
        <w:jc w:val="center"/>
        <w:rPr>
          <w:rFonts w:hint="eastAsia" w:ascii="宋体" w:hAnsi="宋体"/>
          <w:b/>
          <w:color w:val="000000" w:themeColor="text1"/>
          <w:sz w:val="48"/>
          <w:szCs w:val="48"/>
          <w:highlight w:val="none"/>
          <w14:textFill>
            <w14:solidFill>
              <w14:schemeClr w14:val="tx1"/>
            </w14:solidFill>
          </w14:textFill>
        </w:rPr>
      </w:pPr>
    </w:p>
    <w:p>
      <w:pPr>
        <w:jc w:val="center"/>
        <w:rPr>
          <w:rFonts w:hint="eastAsia" w:ascii="宋体" w:hAnsi="宋体"/>
          <w:b/>
          <w:color w:val="000000" w:themeColor="text1"/>
          <w:sz w:val="52"/>
          <w:szCs w:val="52"/>
          <w:highlight w:val="none"/>
          <w14:textFill>
            <w14:solidFill>
              <w14:schemeClr w14:val="tx1"/>
            </w14:solidFill>
          </w14:textFill>
        </w:rPr>
      </w:pPr>
      <w:r>
        <w:rPr>
          <w:rFonts w:hint="eastAsia" w:ascii="宋体" w:hAnsi="宋体"/>
          <w:b/>
          <w:color w:val="000000" w:themeColor="text1"/>
          <w:sz w:val="48"/>
          <w:szCs w:val="48"/>
          <w:highlight w:val="none"/>
          <w14:textFill>
            <w14:solidFill>
              <w14:schemeClr w14:val="tx1"/>
            </w14:solidFill>
          </w14:textFill>
        </w:rPr>
        <w:t>方</w:t>
      </w:r>
    </w:p>
    <w:p>
      <w:pPr>
        <w:jc w:val="center"/>
        <w:rPr>
          <w:rFonts w:hint="eastAsia" w:ascii="宋体" w:hAnsi="宋体"/>
          <w:b/>
          <w:color w:val="000000" w:themeColor="text1"/>
          <w:sz w:val="48"/>
          <w:szCs w:val="48"/>
          <w:highlight w:val="none"/>
          <w14:textFill>
            <w14:solidFill>
              <w14:schemeClr w14:val="tx1"/>
            </w14:solidFill>
          </w14:textFill>
        </w:rPr>
      </w:pPr>
    </w:p>
    <w:p>
      <w:pPr>
        <w:jc w:val="center"/>
        <w:rPr>
          <w:rFonts w:ascii="宋体" w:hAnsi="宋体"/>
          <w:b/>
          <w:color w:val="000000" w:themeColor="text1"/>
          <w:sz w:val="48"/>
          <w:szCs w:val="48"/>
          <w:highlight w:val="none"/>
          <w14:textFill>
            <w14:solidFill>
              <w14:schemeClr w14:val="tx1"/>
            </w14:solidFill>
          </w14:textFill>
        </w:rPr>
      </w:pPr>
      <w:r>
        <w:rPr>
          <w:rFonts w:hint="eastAsia" w:ascii="宋体" w:hAnsi="宋体"/>
          <w:b/>
          <w:color w:val="000000" w:themeColor="text1"/>
          <w:sz w:val="48"/>
          <w:szCs w:val="48"/>
          <w:highlight w:val="none"/>
          <w14:textFill>
            <w14:solidFill>
              <w14:schemeClr w14:val="tx1"/>
            </w14:solidFill>
          </w14:textFill>
        </w:rPr>
        <w:t>案</w:t>
      </w:r>
    </w:p>
    <w:p>
      <w:pPr>
        <w:jc w:val="both"/>
        <w:rPr>
          <w:rFonts w:ascii="宋体" w:hAnsi="宋体"/>
          <w:b/>
          <w:color w:val="000000" w:themeColor="text1"/>
          <w:sz w:val="48"/>
          <w:szCs w:val="48"/>
          <w:highlight w:val="none"/>
          <w14:textFill>
            <w14:solidFill>
              <w14:schemeClr w14:val="tx1"/>
            </w14:solidFill>
          </w14:textFill>
        </w:rPr>
      </w:pPr>
    </w:p>
    <w:p>
      <w:pPr>
        <w:ind w:firstLine="2891" w:firstLineChars="800"/>
        <w:rPr>
          <w:rFonts w:ascii="宋体" w:hAnsi="宋体"/>
          <w:b/>
          <w:color w:val="000000" w:themeColor="text1"/>
          <w:sz w:val="48"/>
          <w:szCs w:val="48"/>
          <w:highlight w:val="none"/>
          <w14:textFill>
            <w14:solidFill>
              <w14:schemeClr w14:val="tx1"/>
            </w14:solidFill>
          </w14:textFill>
        </w:rPr>
      </w:pPr>
      <w:r>
        <w:rPr>
          <w:rFonts w:hint="eastAsia" w:ascii="宋体" w:hAnsi="宋体"/>
          <w:b/>
          <w:color w:val="000000" w:themeColor="text1"/>
          <w:sz w:val="36"/>
          <w:highlight w:val="none"/>
          <w14:textFill>
            <w14:solidFill>
              <w14:schemeClr w14:val="tx1"/>
            </w14:solidFill>
          </w14:textFill>
        </w:rPr>
        <w:t xml:space="preserve">2017年 </w:t>
      </w:r>
      <w:r>
        <w:rPr>
          <w:rFonts w:hint="eastAsia" w:ascii="宋体" w:hAnsi="宋体"/>
          <w:b/>
          <w:color w:val="000000" w:themeColor="text1"/>
          <w:sz w:val="36"/>
          <w:highlight w:val="none"/>
          <w:lang w:val="en-US" w:eastAsia="zh-CN"/>
          <w14:textFill>
            <w14:solidFill>
              <w14:schemeClr w14:val="tx1"/>
            </w14:solidFill>
          </w14:textFill>
        </w:rPr>
        <w:t>12</w:t>
      </w:r>
      <w:r>
        <w:rPr>
          <w:rFonts w:hint="eastAsia" w:ascii="宋体" w:hAnsi="宋体"/>
          <w:b/>
          <w:color w:val="000000" w:themeColor="text1"/>
          <w:sz w:val="36"/>
          <w:highlight w:val="none"/>
          <w14:textFill>
            <w14:solidFill>
              <w14:schemeClr w14:val="tx1"/>
            </w14:solidFill>
          </w14:textFill>
        </w:rPr>
        <w:t>月</w:t>
      </w:r>
      <w:r>
        <w:rPr>
          <w:rFonts w:hint="eastAsia" w:ascii="宋体" w:hAnsi="宋体"/>
          <w:b/>
          <w:color w:val="000000" w:themeColor="text1"/>
          <w:sz w:val="36"/>
          <w:highlight w:val="none"/>
          <w:lang w:val="en-US" w:eastAsia="zh-CN"/>
          <w14:textFill>
            <w14:solidFill>
              <w14:schemeClr w14:val="tx1"/>
            </w14:solidFill>
          </w14:textFill>
        </w:rPr>
        <w:t>10</w:t>
      </w:r>
      <w:r>
        <w:rPr>
          <w:rFonts w:hint="eastAsia" w:ascii="宋体" w:hAnsi="宋体"/>
          <w:b/>
          <w:color w:val="000000" w:themeColor="text1"/>
          <w:sz w:val="36"/>
          <w:highlight w:val="none"/>
          <w14:textFill>
            <w14:solidFill>
              <w14:schemeClr w14:val="tx1"/>
            </w14:solidFill>
          </w14:textFill>
        </w:rPr>
        <w:t>日</w:t>
      </w:r>
    </w:p>
    <w:p>
      <w:pPr>
        <w:jc w:val="both"/>
        <w:rPr>
          <w:rFonts w:hint="eastAsia" w:ascii="宋体" w:hAnsi="宋体"/>
          <w:b/>
          <w:color w:val="000000" w:themeColor="text1"/>
          <w:sz w:val="32"/>
          <w:szCs w:val="32"/>
          <w:highlight w:val="none"/>
          <w:lang w:val="en-US" w:eastAsia="zh-CN"/>
          <w14:textFill>
            <w14:solidFill>
              <w14:schemeClr w14:val="tx1"/>
            </w14:solidFill>
          </w14:textFill>
        </w:rPr>
      </w:pPr>
    </w:p>
    <w:p>
      <w:pPr>
        <w:jc w:val="both"/>
        <w:rPr>
          <w:rFonts w:hint="eastAsia" w:ascii="宋体" w:hAnsi="宋体"/>
          <w:b/>
          <w:color w:val="000000" w:themeColor="text1"/>
          <w:sz w:val="32"/>
          <w:szCs w:val="32"/>
          <w:highlight w:val="none"/>
          <w:lang w:val="en-US" w:eastAsia="zh-CN"/>
          <w14:textFill>
            <w14:solidFill>
              <w14:schemeClr w14:val="tx1"/>
            </w14:solidFill>
          </w14:textFill>
        </w:rPr>
      </w:pPr>
    </w:p>
    <w:p>
      <w:pPr>
        <w:jc w:val="both"/>
        <w:rPr>
          <w:rFonts w:hint="eastAsia" w:ascii="宋体" w:hAnsi="宋体"/>
          <w:b/>
          <w:color w:val="000000" w:themeColor="text1"/>
          <w:sz w:val="32"/>
          <w:szCs w:val="32"/>
          <w:highlight w:val="none"/>
          <w:lang w:val="en-US" w:eastAsia="zh-CN"/>
          <w14:textFill>
            <w14:solidFill>
              <w14:schemeClr w14:val="tx1"/>
            </w14:solidFill>
          </w14:textFill>
        </w:rPr>
      </w:pPr>
    </w:p>
    <w:p>
      <w:pPr>
        <w:jc w:val="both"/>
        <w:rPr>
          <w:rFonts w:hint="eastAsia" w:ascii="宋体" w:hAnsi="宋体"/>
          <w:b/>
          <w:color w:val="000000" w:themeColor="text1"/>
          <w:sz w:val="32"/>
          <w:szCs w:val="32"/>
          <w:highlight w:val="none"/>
          <w:lang w:val="en-US" w:eastAsia="zh-CN"/>
          <w14:textFill>
            <w14:solidFill>
              <w14:schemeClr w14:val="tx1"/>
            </w14:solidFill>
          </w14:textFill>
        </w:rPr>
      </w:pPr>
    </w:p>
    <w:p>
      <w:pPr>
        <w:jc w:val="both"/>
        <w:rPr>
          <w:rFonts w:hint="eastAsia" w:ascii="宋体" w:hAnsi="宋体"/>
          <w:b/>
          <w:color w:val="000000" w:themeColor="text1"/>
          <w:sz w:val="32"/>
          <w:szCs w:val="32"/>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lang w:val="en-US" w:eastAsia="zh-CN"/>
          <w14:textFill>
            <w14:solidFill>
              <w14:schemeClr w14:val="tx1"/>
            </w14:solidFill>
          </w14:textFill>
        </w:rPr>
        <w:t>水电安装</w:t>
      </w: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工程</w:t>
      </w:r>
      <w:r>
        <w:rPr>
          <w:rFonts w:hint="eastAsia" w:asciiTheme="majorEastAsia" w:hAnsiTheme="majorEastAsia" w:eastAsiaTheme="majorEastAsia" w:cstheme="majorEastAsia"/>
          <w:b/>
          <w:color w:val="000000" w:themeColor="text1"/>
          <w:sz w:val="24"/>
          <w:szCs w:val="24"/>
          <w:highlight w:val="none"/>
          <w:lang w:eastAsia="zh-CN"/>
          <w14:textFill>
            <w14:solidFill>
              <w14:schemeClr w14:val="tx1"/>
            </w14:solidFill>
          </w14:textFill>
        </w:rPr>
        <w:t>概况</w:t>
      </w: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p>
      <w:pPr>
        <w:pageBreakBefore w:val="0"/>
        <w:numPr>
          <w:ilvl w:val="0"/>
          <w:numId w:val="0"/>
        </w:numPr>
        <w:kinsoku/>
        <w:wordWrap/>
        <w:topLinePunct w:val="0"/>
        <w:bidi w:val="0"/>
        <w:spacing w:line="528" w:lineRule="auto"/>
        <w:ind w:right="0" w:rightChars="0"/>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t>工程概况：</w:t>
      </w: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 xml:space="preserve">  </w:t>
      </w:r>
    </w:p>
    <w:p>
      <w:pPr>
        <w:pageBreakBefore w:val="0"/>
        <w:kinsoku/>
        <w:wordWrap/>
        <w:topLinePunct w:val="0"/>
        <w:bidi w:val="0"/>
        <w:spacing w:line="528" w:lineRule="auto"/>
        <w:ind w:right="0" w:rightChars="0" w:firstLine="480" w:firstLineChars="200"/>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项目位于杭州市余杭区仁和镇，地块位于仁良路以东、临港路以西、粮站路以北、杭州龙腾输送机械有限公司以南。基地呈方形，东西长约297.30m，南北长约230.25m。占地面积67617㎡，建筑面积86497.29㎡。建筑层数二层，建筑耐火等级一级，火灾危险性丙二类物流仓库。本工程包括</w:t>
      </w:r>
      <w:r>
        <w:rPr>
          <w:rFonts w:hint="eastAsia" w:asciiTheme="majorEastAsia" w:hAnsiTheme="majorEastAsia" w:eastAsiaTheme="majorEastAsia" w:cstheme="majorEastAsia"/>
          <w:bCs/>
          <w:color w:val="000000" w:themeColor="text1"/>
          <w:sz w:val="24"/>
          <w:szCs w:val="24"/>
          <w:highlight w:val="none"/>
          <w:lang w:eastAsia="zh-CN"/>
          <w14:textFill>
            <w14:solidFill>
              <w14:schemeClr w14:val="tx1"/>
            </w14:solidFill>
          </w14:textFill>
        </w:rPr>
        <w:t>配电、照明、接地和防雷</w:t>
      </w: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系统、</w:t>
      </w:r>
      <w:r>
        <w:rPr>
          <w:rFonts w:hint="eastAsia" w:asciiTheme="majorEastAsia" w:hAnsiTheme="majorEastAsia" w:eastAsiaTheme="majorEastAsia" w:cstheme="majorEastAsia"/>
          <w:bCs/>
          <w:color w:val="000000" w:themeColor="text1"/>
          <w:sz w:val="24"/>
          <w:szCs w:val="24"/>
          <w:highlight w:val="none"/>
          <w:lang w:eastAsia="zh-CN"/>
          <w14:textFill>
            <w14:solidFill>
              <w14:schemeClr w14:val="tx1"/>
            </w14:solidFill>
          </w14:textFill>
        </w:rPr>
        <w:t>生活给水系统、污废水系统、雨水系统</w:t>
      </w: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w:t>
      </w:r>
    </w:p>
    <w:p>
      <w:pPr>
        <w:pageBreakBefore w:val="0"/>
        <w:kinsoku/>
        <w:wordWrap/>
        <w:topLinePunct w:val="0"/>
        <w:bidi w:val="0"/>
        <w:spacing w:line="528" w:lineRule="auto"/>
        <w:ind w:right="0" w:rightChars="0" w:firstLine="480" w:firstLineChars="200"/>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t>编制依据</w:t>
      </w:r>
    </w:p>
    <w:p>
      <w:pPr>
        <w:pageBreakBefore w:val="0"/>
        <w:kinsoku/>
        <w:wordWrap/>
        <w:topLinePunct w:val="0"/>
        <w:bidi w:val="0"/>
        <w:spacing w:line="528" w:lineRule="auto"/>
        <w:ind w:right="0" w:rightChars="0"/>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t xml:space="preserve"> </w:t>
      </w: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一、编制依据</w:t>
      </w:r>
    </w:p>
    <w:p>
      <w:pPr>
        <w:pageBreakBefore w:val="0"/>
        <w:kinsoku/>
        <w:wordWrap/>
        <w:topLinePunct w:val="0"/>
        <w:bidi w:val="0"/>
        <w:spacing w:line="528" w:lineRule="auto"/>
        <w:ind w:right="0" w:rightChars="0"/>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 xml:space="preserve">    （一）施工合同</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 xml:space="preserve">    </w:t>
      </w:r>
    </w:p>
    <w:p>
      <w:pPr>
        <w:pageBreakBefore w:val="0"/>
        <w:kinsoku/>
        <w:wordWrap/>
        <w:topLinePunct w:val="0"/>
        <w:bidi w:val="0"/>
        <w:spacing w:line="528" w:lineRule="auto"/>
        <w:ind w:right="0" w:rightChars="0"/>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 xml:space="preserve">    （二）</w:t>
      </w:r>
      <w: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t>设计</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图纸</w:t>
      </w:r>
    </w:p>
    <w:p>
      <w:pPr>
        <w:pageBreakBefore w:val="0"/>
        <w:kinsoku/>
        <w:wordWrap/>
        <w:topLinePunct w:val="0"/>
        <w:bidi w:val="0"/>
        <w:spacing w:line="528" w:lineRule="auto"/>
        <w:ind w:right="0" w:rightChars="0" w:firstLine="480"/>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（三）规范和法规</w:t>
      </w:r>
    </w:p>
    <w:p>
      <w:pPr>
        <w:pageBreakBefore w:val="0"/>
        <w:kinsoku/>
        <w:wordWrap/>
        <w:topLinePunct w:val="0"/>
        <w:bidi w:val="0"/>
        <w:spacing w:line="528" w:lineRule="auto"/>
        <w:ind w:right="0" w:rightChars="0" w:firstLine="480"/>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（四）安博标准</w:t>
      </w:r>
    </w:p>
    <w:p>
      <w:pPr>
        <w:pageBreakBefore w:val="0"/>
        <w:kinsoku/>
        <w:wordWrap/>
        <w:topLinePunct w:val="0"/>
        <w:bidi w:val="0"/>
        <w:spacing w:line="528" w:lineRule="auto"/>
        <w:ind w:right="0" w:rightChars="0" w:firstLine="480"/>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p>
    <w:p>
      <w:pPr>
        <w:pageBreakBefore w:val="0"/>
        <w:numPr>
          <w:ilvl w:val="0"/>
          <w:numId w:val="1"/>
        </w:numPr>
        <w:kinsoku/>
        <w:wordWrap/>
        <w:topLinePunct w:val="0"/>
        <w:bidi w:val="0"/>
        <w:spacing w:line="528" w:lineRule="auto"/>
        <w:ind w:right="0" w:rightChars="0" w:firstLine="480" w:firstLineChars="200"/>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《民用建筑电气设计规范》              JGJ 16-2008</w:t>
      </w:r>
    </w:p>
    <w:p>
      <w:pPr>
        <w:pageBreakBefore w:val="0"/>
        <w:numPr>
          <w:ilvl w:val="0"/>
          <w:numId w:val="1"/>
        </w:numPr>
        <w:kinsoku/>
        <w:wordWrap/>
        <w:topLinePunct w:val="0"/>
        <w:bidi w:val="0"/>
        <w:spacing w:line="528" w:lineRule="auto"/>
        <w:ind w:right="0" w:rightChars="0" w:firstLine="480" w:firstLineChars="200"/>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《低压配电设计规范》                  GB50054-2011</w:t>
      </w:r>
    </w:p>
    <w:p>
      <w:pPr>
        <w:pageBreakBefore w:val="0"/>
        <w:numPr>
          <w:ilvl w:val="0"/>
          <w:numId w:val="1"/>
        </w:numPr>
        <w:kinsoku/>
        <w:wordWrap/>
        <w:topLinePunct w:val="0"/>
        <w:bidi w:val="0"/>
        <w:spacing w:line="528" w:lineRule="auto"/>
        <w:ind w:right="0" w:rightChars="0" w:firstLine="480" w:firstLineChars="200"/>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《通用用电设备配电设计规范》          GB50055-2011</w:t>
      </w:r>
    </w:p>
    <w:p>
      <w:pPr>
        <w:pageBreakBefore w:val="0"/>
        <w:numPr>
          <w:ilvl w:val="0"/>
          <w:numId w:val="1"/>
        </w:numPr>
        <w:kinsoku/>
        <w:wordWrap/>
        <w:topLinePunct w:val="0"/>
        <w:bidi w:val="0"/>
        <w:spacing w:line="528" w:lineRule="auto"/>
        <w:ind w:right="0" w:rightChars="0" w:firstLine="480" w:firstLineChars="200"/>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《建筑照明设计标准》                  GB50034-2013</w:t>
      </w:r>
    </w:p>
    <w:p>
      <w:pPr>
        <w:pageBreakBefore w:val="0"/>
        <w:numPr>
          <w:ilvl w:val="0"/>
          <w:numId w:val="1"/>
        </w:numPr>
        <w:kinsoku/>
        <w:wordWrap/>
        <w:topLinePunct w:val="0"/>
        <w:bidi w:val="0"/>
        <w:spacing w:line="528" w:lineRule="auto"/>
        <w:ind w:right="0" w:rightChars="0" w:firstLine="480" w:firstLineChars="200"/>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《建筑物防雷设计规范》                GB50057-2010</w:t>
      </w:r>
    </w:p>
    <w:p>
      <w:pPr>
        <w:pageBreakBefore w:val="0"/>
        <w:numPr>
          <w:ilvl w:val="0"/>
          <w:numId w:val="1"/>
        </w:numPr>
        <w:kinsoku/>
        <w:wordWrap/>
        <w:topLinePunct w:val="0"/>
        <w:bidi w:val="0"/>
        <w:spacing w:line="528" w:lineRule="auto"/>
        <w:ind w:right="0" w:rightChars="0" w:firstLine="480" w:firstLineChars="200"/>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《电力工程电缆设计规范》              GB50217-2007</w:t>
      </w:r>
    </w:p>
    <w:p>
      <w:pPr>
        <w:pageBreakBefore w:val="0"/>
        <w:numPr>
          <w:ilvl w:val="0"/>
          <w:numId w:val="1"/>
        </w:numPr>
        <w:kinsoku/>
        <w:wordWrap/>
        <w:topLinePunct w:val="0"/>
        <w:bidi w:val="0"/>
        <w:spacing w:line="528" w:lineRule="auto"/>
        <w:ind w:right="0" w:rightChars="0" w:firstLine="480" w:firstLineChars="200"/>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《1kV及以下配线工程施工与验收规范》   GB50575-2010</w:t>
      </w:r>
    </w:p>
    <w:p>
      <w:pPr>
        <w:pageBreakBefore w:val="0"/>
        <w:numPr>
          <w:ilvl w:val="0"/>
          <w:numId w:val="1"/>
        </w:numPr>
        <w:kinsoku/>
        <w:wordWrap/>
        <w:topLinePunct w:val="0"/>
        <w:bidi w:val="0"/>
        <w:spacing w:line="528" w:lineRule="auto"/>
        <w:ind w:right="0" w:rightChars="0" w:firstLine="480" w:firstLineChars="200"/>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《安博工程技术标准》</w:t>
      </w:r>
    </w:p>
    <w:p>
      <w:pPr>
        <w:pageBreakBefore w:val="0"/>
        <w:numPr>
          <w:ilvl w:val="0"/>
          <w:numId w:val="1"/>
        </w:numPr>
        <w:kinsoku/>
        <w:wordWrap/>
        <w:topLinePunct w:val="0"/>
        <w:bidi w:val="0"/>
        <w:spacing w:line="528" w:lineRule="auto"/>
        <w:ind w:right="0" w:rightChars="0" w:firstLine="480" w:firstLineChars="200"/>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《建筑给排水设计规范》</w:t>
      </w:r>
      <w:r>
        <w:rPr>
          <w:rFonts w:hint="eastAsia" w:asciiTheme="majorEastAsia" w:hAnsiTheme="majorEastAsia" w:eastAsiaTheme="majorEastAsia" w:cstheme="majorEastAsia"/>
          <w:bCs/>
          <w:color w:val="000000" w:themeColor="text1"/>
          <w:sz w:val="24"/>
          <w:szCs w:val="24"/>
          <w:highlight w:val="none"/>
          <w:lang w:val="en-US" w:eastAsia="zh-CN"/>
          <w14:textFill>
            <w14:solidFill>
              <w14:schemeClr w14:val="tx1"/>
            </w14:solidFill>
          </w14:textFill>
        </w:rPr>
        <w:t xml:space="preserve">                </w:t>
      </w: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GB50015-2003(2009版)</w:t>
      </w:r>
    </w:p>
    <w:p>
      <w:pPr>
        <w:pageBreakBefore w:val="0"/>
        <w:numPr>
          <w:ilvl w:val="0"/>
          <w:numId w:val="1"/>
        </w:numPr>
        <w:kinsoku/>
        <w:wordWrap/>
        <w:topLinePunct w:val="0"/>
        <w:bidi w:val="0"/>
        <w:spacing w:line="528" w:lineRule="auto"/>
        <w:ind w:right="0" w:rightChars="0" w:firstLine="480" w:firstLineChars="200"/>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《建筑与小区雨水利用工程技术规范》</w:t>
      </w:r>
      <w:r>
        <w:rPr>
          <w:rFonts w:hint="eastAsia" w:asciiTheme="majorEastAsia" w:hAnsiTheme="majorEastAsia" w:eastAsiaTheme="majorEastAsia" w:cstheme="majorEastAsia"/>
          <w:bCs/>
          <w:color w:val="000000" w:themeColor="text1"/>
          <w:sz w:val="24"/>
          <w:szCs w:val="24"/>
          <w:highlight w:val="none"/>
          <w:lang w:val="en-US" w:eastAsia="zh-CN"/>
          <w14:textFill>
            <w14:solidFill>
              <w14:schemeClr w14:val="tx1"/>
            </w14:solidFill>
          </w14:textFill>
        </w:rPr>
        <w:t xml:space="preserve">   </w:t>
      </w: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GB50040-2006</w:t>
      </w:r>
    </w:p>
    <w:p>
      <w:pPr>
        <w:pageBreakBefore w:val="0"/>
        <w:numPr>
          <w:ilvl w:val="0"/>
          <w:numId w:val="1"/>
        </w:numPr>
        <w:kinsoku/>
        <w:wordWrap/>
        <w:topLinePunct w:val="0"/>
        <w:bidi w:val="0"/>
        <w:spacing w:line="528" w:lineRule="auto"/>
        <w:ind w:right="0" w:rightChars="0" w:firstLine="480" w:firstLineChars="200"/>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《室外给水设计规范》</w:t>
      </w:r>
      <w:r>
        <w:rPr>
          <w:rFonts w:hint="eastAsia" w:asciiTheme="majorEastAsia" w:hAnsiTheme="majorEastAsia" w:eastAsiaTheme="majorEastAsia" w:cstheme="majorEastAsia"/>
          <w:bCs/>
          <w:color w:val="000000" w:themeColor="text1"/>
          <w:sz w:val="24"/>
          <w:szCs w:val="24"/>
          <w:highlight w:val="none"/>
          <w:lang w:val="en-US" w:eastAsia="zh-CN"/>
          <w14:textFill>
            <w14:solidFill>
              <w14:schemeClr w14:val="tx1"/>
            </w14:solidFill>
          </w14:textFill>
        </w:rPr>
        <w:t xml:space="preserve">                 </w:t>
      </w: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GB50013-2006</w:t>
      </w:r>
    </w:p>
    <w:p>
      <w:pPr>
        <w:pageBreakBefore w:val="0"/>
        <w:numPr>
          <w:ilvl w:val="0"/>
          <w:numId w:val="1"/>
        </w:numPr>
        <w:kinsoku/>
        <w:wordWrap/>
        <w:topLinePunct w:val="0"/>
        <w:bidi w:val="0"/>
        <w:spacing w:line="528" w:lineRule="auto"/>
        <w:ind w:right="0" w:rightChars="0" w:firstLine="480" w:firstLineChars="200"/>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《室外排水设计规范》</w:t>
      </w:r>
      <w:r>
        <w:rPr>
          <w:rFonts w:hint="eastAsia" w:asciiTheme="majorEastAsia" w:hAnsiTheme="majorEastAsia" w:eastAsiaTheme="majorEastAsia" w:cstheme="majorEastAsia"/>
          <w:bCs/>
          <w:color w:val="000000" w:themeColor="text1"/>
          <w:sz w:val="24"/>
          <w:szCs w:val="24"/>
          <w:highlight w:val="none"/>
          <w:lang w:val="en-US" w:eastAsia="zh-CN"/>
          <w14:textFill>
            <w14:solidFill>
              <w14:schemeClr w14:val="tx1"/>
            </w14:solidFill>
          </w14:textFill>
        </w:rPr>
        <w:t xml:space="preserve">                 </w:t>
      </w: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GB50014-2006(2014年版)</w:t>
      </w: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jc w:val="both"/>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color w:val="000000" w:themeColor="text1"/>
          <w:sz w:val="24"/>
          <w:szCs w:val="24"/>
          <w:highlight w:val="none"/>
          <w14:textFill>
            <w14:solidFill>
              <w14:schemeClr w14:val="tx1"/>
            </w14:solidFill>
          </w14:textFill>
        </w:rPr>
        <w:t>施工</w:t>
      </w:r>
      <w:r>
        <w:rPr>
          <w:rFonts w:hint="eastAsia" w:asciiTheme="majorEastAsia" w:hAnsiTheme="majorEastAsia" w:eastAsiaTheme="majorEastAsia" w:cstheme="majorEastAsia"/>
          <w:b/>
          <w:color w:val="000000" w:themeColor="text1"/>
          <w:sz w:val="24"/>
          <w:szCs w:val="24"/>
          <w:highlight w:val="none"/>
          <w:lang w:eastAsia="zh-CN"/>
          <w14:textFill>
            <w14:solidFill>
              <w14:schemeClr w14:val="tx1"/>
            </w14:solidFill>
          </w14:textFill>
        </w:rPr>
        <w:t>组织</w:t>
      </w:r>
    </w:p>
    <w:p>
      <w:pPr>
        <w:pStyle w:val="9"/>
        <w:pageBreakBefore w:val="0"/>
        <w:shd w:val="clear" w:color="auto" w:fill="FFFFFF"/>
        <w:kinsoku/>
        <w:wordWrap/>
        <w:topLinePunct w:val="0"/>
        <w:bidi w:val="0"/>
        <w:spacing w:line="528" w:lineRule="auto"/>
        <w:ind w:right="0" w:rightChars="0"/>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14:textFill>
            <w14:solidFill>
              <w14:schemeClr w14:val="tx1"/>
            </w14:solidFill>
          </w14:textFill>
        </w:rPr>
        <w:t>一、项目组织安排</w:t>
      </w:r>
    </w:p>
    <w:p>
      <w:pPr>
        <w:pStyle w:val="9"/>
        <w:pageBreakBefore w:val="0"/>
        <w:shd w:val="clear" w:color="auto" w:fill="FFFFFF"/>
        <w:kinsoku/>
        <w:wordWrap/>
        <w:topLinePunct w:val="0"/>
        <w:bidi w:val="0"/>
        <w:spacing w:line="528" w:lineRule="auto"/>
        <w:ind w:right="0" w:rightChars="0"/>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1)施工组织总体部署</w:t>
      </w:r>
    </w:p>
    <w:p>
      <w:pPr>
        <w:pStyle w:val="9"/>
        <w:pageBreakBefore w:val="0"/>
        <w:shd w:val="clear" w:color="auto" w:fill="FFFFFF"/>
        <w:kinsoku/>
        <w:wordWrap/>
        <w:topLinePunct w:val="0"/>
        <w:bidi w:val="0"/>
        <w:spacing w:line="528" w:lineRule="auto"/>
        <w:ind w:right="0" w:rightChars="0" w:firstLine="480" w:firstLineChars="200"/>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集中力量保重点、保工期，在人力、物力、机械上给安装工程以充分保证，专业技术人员协助指导项目施工班组组织好施工工作，并做好各方面的协调配合。</w:t>
      </w:r>
    </w:p>
    <w:p>
      <w:pPr>
        <w:pStyle w:val="9"/>
        <w:pageBreakBefore w:val="0"/>
        <w:shd w:val="clear" w:color="auto" w:fill="FFFFFF"/>
        <w:kinsoku/>
        <w:wordWrap/>
        <w:topLinePunct w:val="0"/>
        <w:bidi w:val="0"/>
        <w:spacing w:line="528" w:lineRule="auto"/>
        <w:ind w:right="0" w:rightChars="0"/>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水电</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项目管理人员配置</w:t>
      </w:r>
    </w:p>
    <w:tbl>
      <w:tblPr>
        <w:tblStyle w:val="14"/>
        <w:tblpPr w:leftFromText="180" w:rightFromText="180" w:vertAnchor="text" w:horzAnchor="page" w:tblpX="1909" w:tblpY="278"/>
        <w:tblOverlap w:val="never"/>
        <w:tblW w:w="8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3593"/>
        <w:gridCol w:w="1116"/>
        <w:gridCol w:w="2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序号</w:t>
            </w:r>
          </w:p>
        </w:tc>
        <w:tc>
          <w:tcPr>
            <w:tcW w:w="3593"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职 称</w:t>
            </w:r>
          </w:p>
        </w:tc>
        <w:tc>
          <w:tcPr>
            <w:tcW w:w="111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姓 名</w:t>
            </w:r>
          </w:p>
        </w:tc>
        <w:tc>
          <w:tcPr>
            <w:tcW w:w="280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联 系 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1</w:t>
            </w:r>
          </w:p>
        </w:tc>
        <w:tc>
          <w:tcPr>
            <w:tcW w:w="3593"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项目负责人</w:t>
            </w:r>
          </w:p>
        </w:tc>
        <w:tc>
          <w:tcPr>
            <w:tcW w:w="111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李胜志</w:t>
            </w:r>
          </w:p>
        </w:tc>
        <w:tc>
          <w:tcPr>
            <w:tcW w:w="280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13989154182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2</w:t>
            </w:r>
          </w:p>
        </w:tc>
        <w:tc>
          <w:tcPr>
            <w:tcW w:w="3593"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技术负责人</w:t>
            </w:r>
          </w:p>
        </w:tc>
        <w:tc>
          <w:tcPr>
            <w:tcW w:w="111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程业来</w:t>
            </w:r>
          </w:p>
        </w:tc>
        <w:tc>
          <w:tcPr>
            <w:tcW w:w="280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18207107706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3</w:t>
            </w:r>
          </w:p>
        </w:tc>
        <w:tc>
          <w:tcPr>
            <w:tcW w:w="3593"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c>
          <w:tcPr>
            <w:tcW w:w="111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c>
          <w:tcPr>
            <w:tcW w:w="280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4</w:t>
            </w:r>
          </w:p>
        </w:tc>
        <w:tc>
          <w:tcPr>
            <w:tcW w:w="3593"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c>
          <w:tcPr>
            <w:tcW w:w="1116" w:type="dxa"/>
            <w:vAlign w:val="center"/>
          </w:tcPr>
          <w:p>
            <w:pPr>
              <w:pageBreakBefore w:val="0"/>
              <w:kinsoku/>
              <w:wordWrap/>
              <w:topLinePunct w:val="0"/>
              <w:bidi w:val="0"/>
              <w:spacing w:line="528" w:lineRule="auto"/>
              <w:ind w:right="0" w:rightChars="0"/>
              <w:jc w:val="both"/>
              <w:rPr>
                <w:rFonts w:hint="eastAsia" w:asciiTheme="majorEastAsia" w:hAnsiTheme="majorEastAsia" w:eastAsiaTheme="majorEastAsia" w:cstheme="majorEastAsia"/>
                <w:color w:val="000000" w:themeColor="text1"/>
                <w:sz w:val="24"/>
                <w:szCs w:val="24"/>
                <w:highlight w:val="none"/>
                <w:vertAlign w:val="baseline"/>
                <w14:textFill>
                  <w14:solidFill>
                    <w14:schemeClr w14:val="tx1"/>
                  </w14:solidFill>
                </w14:textFill>
              </w:rPr>
            </w:pPr>
          </w:p>
        </w:tc>
        <w:tc>
          <w:tcPr>
            <w:tcW w:w="280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5</w:t>
            </w:r>
          </w:p>
        </w:tc>
        <w:tc>
          <w:tcPr>
            <w:tcW w:w="3593"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c>
          <w:tcPr>
            <w:tcW w:w="111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c>
          <w:tcPr>
            <w:tcW w:w="280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6</w:t>
            </w:r>
          </w:p>
        </w:tc>
        <w:tc>
          <w:tcPr>
            <w:tcW w:w="3593"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c>
          <w:tcPr>
            <w:tcW w:w="111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c>
          <w:tcPr>
            <w:tcW w:w="280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7</w:t>
            </w:r>
          </w:p>
        </w:tc>
        <w:tc>
          <w:tcPr>
            <w:tcW w:w="3593"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c>
          <w:tcPr>
            <w:tcW w:w="111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c>
          <w:tcPr>
            <w:tcW w:w="280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p>
        </w:tc>
      </w:tr>
    </w:tbl>
    <w:p>
      <w:pPr>
        <w:pageBreakBefore w:val="0"/>
        <w:kinsoku/>
        <w:wordWrap/>
        <w:topLinePunct w:val="0"/>
        <w:bidi w:val="0"/>
        <w:spacing w:line="528" w:lineRule="auto"/>
        <w:ind w:right="0" w:rightChars="0"/>
        <w:rPr>
          <w:rFonts w:hint="eastAsia" w:asciiTheme="majorEastAsia" w:hAnsiTheme="majorEastAsia" w:eastAsiaTheme="majorEastAsia" w:cstheme="majorEastAsia"/>
          <w:b w:val="0"/>
          <w:bCs w:val="0"/>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highlight w:val="none"/>
          <w14:textFill>
            <w14:solidFill>
              <w14:schemeClr w14:val="tx1"/>
            </w14:solidFill>
          </w14:textFill>
        </w:rPr>
        <w:t>3）</w:t>
      </w: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施工计划</w:t>
      </w:r>
    </w:p>
    <w:p>
      <w:pPr>
        <w:pStyle w:val="15"/>
        <w:pageBreakBefore w:val="0"/>
        <w:numPr>
          <w:ilvl w:val="0"/>
          <w:numId w:val="0"/>
        </w:numPr>
        <w:kinsoku/>
        <w:wordWrap/>
        <w:topLinePunct w:val="0"/>
        <w:bidi w:val="0"/>
        <w:spacing w:line="528" w:lineRule="auto"/>
        <w:ind w:leftChars="200" w:right="0" w:rightChars="0"/>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施工准备</w:t>
      </w:r>
    </w:p>
    <w:p>
      <w:pPr>
        <w:pStyle w:val="15"/>
        <w:pageBreakBefore w:val="0"/>
        <w:numPr>
          <w:ilvl w:val="0"/>
          <w:numId w:val="2"/>
        </w:numPr>
        <w:kinsoku/>
        <w:wordWrap/>
        <w:topLinePunct w:val="0"/>
        <w:bidi w:val="0"/>
        <w:spacing w:line="528" w:lineRule="auto"/>
        <w:ind w:left="420" w:leftChars="0" w:right="0" w:rightChars="0" w:hanging="420" w:firstLineChars="0"/>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学习和熟悉图纸，及时预审、会审图纸，组织各专业与设计、监理、建设单位共同协商解决工程上的问题，以保证工程的顺利进行。</w:t>
      </w:r>
    </w:p>
    <w:p>
      <w:pPr>
        <w:pStyle w:val="15"/>
        <w:pageBreakBefore w:val="0"/>
        <w:numPr>
          <w:ilvl w:val="0"/>
          <w:numId w:val="2"/>
        </w:numPr>
        <w:kinsoku/>
        <w:wordWrap/>
        <w:topLinePunct w:val="0"/>
        <w:bidi w:val="0"/>
        <w:spacing w:line="528" w:lineRule="auto"/>
        <w:ind w:left="420" w:leftChars="0" w:right="0" w:rightChars="0" w:hanging="420" w:firstLineChars="0"/>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组织各专业人员学习合同有关内容，学习施工规范、学习市质、安监督站相关文件和条例并在施工前对工人进行交底；</w:t>
      </w:r>
    </w:p>
    <w:p>
      <w:pPr>
        <w:pStyle w:val="15"/>
        <w:pageBreakBefore w:val="0"/>
        <w:numPr>
          <w:ilvl w:val="0"/>
          <w:numId w:val="2"/>
        </w:numPr>
        <w:kinsoku/>
        <w:wordWrap/>
        <w:topLinePunct w:val="0"/>
        <w:bidi w:val="0"/>
        <w:spacing w:line="528" w:lineRule="auto"/>
        <w:ind w:left="420" w:leftChars="0" w:right="0" w:rightChars="0" w:hanging="420" w:firstLineChars="0"/>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做好施工预算工作，按时上报材料计划并及时组织进场；</w:t>
      </w:r>
    </w:p>
    <w:p>
      <w:pPr>
        <w:pStyle w:val="15"/>
        <w:pageBreakBefore w:val="0"/>
        <w:numPr>
          <w:ilvl w:val="0"/>
          <w:numId w:val="0"/>
        </w:numPr>
        <w:kinsoku/>
        <w:wordWrap/>
        <w:topLinePunct w:val="0"/>
        <w:bidi w:val="0"/>
        <w:spacing w:line="528" w:lineRule="auto"/>
        <w:ind w:left="400" w:leftChars="0" w:right="0" w:rightChars="0"/>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t>施工机械设备投入计划</w:t>
      </w:r>
    </w:p>
    <w:tbl>
      <w:tblPr>
        <w:tblStyle w:val="13"/>
        <w:tblpPr w:leftFromText="180" w:rightFromText="180" w:vertAnchor="text" w:horzAnchor="page" w:tblpX="2205" w:tblpY="152"/>
        <w:tblOverlap w:val="never"/>
        <w:tblW w:w="78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052"/>
        <w:gridCol w:w="1237"/>
        <w:gridCol w:w="914"/>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3" w:hRule="atLeast"/>
        </w:trPr>
        <w:tc>
          <w:tcPr>
            <w:tcW w:w="77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序号</w:t>
            </w:r>
          </w:p>
        </w:tc>
        <w:tc>
          <w:tcPr>
            <w:tcW w:w="2052"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机械或设备</w:t>
            </w: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名称</w:t>
            </w:r>
          </w:p>
        </w:tc>
        <w:tc>
          <w:tcPr>
            <w:tcW w:w="123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型号规格</w:t>
            </w:r>
          </w:p>
        </w:tc>
        <w:tc>
          <w:tcPr>
            <w:tcW w:w="914"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数量</w:t>
            </w:r>
          </w:p>
        </w:tc>
        <w:tc>
          <w:tcPr>
            <w:tcW w:w="2872"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备</w:t>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 xml:space="preserve"> </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77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w:t>
            </w:r>
          </w:p>
        </w:tc>
        <w:tc>
          <w:tcPr>
            <w:tcW w:w="2052"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电锤</w:t>
            </w:r>
          </w:p>
        </w:tc>
        <w:tc>
          <w:tcPr>
            <w:tcW w:w="123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2000-2-22</w:t>
            </w:r>
          </w:p>
        </w:tc>
        <w:tc>
          <w:tcPr>
            <w:tcW w:w="914"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8个</w:t>
            </w:r>
          </w:p>
        </w:tc>
        <w:tc>
          <w:tcPr>
            <w:tcW w:w="2872" w:type="dxa"/>
            <w:vAlign w:val="center"/>
          </w:tcPr>
          <w:p>
            <w:pPr>
              <w:pStyle w:val="5"/>
              <w:pageBreakBefore w:val="0"/>
              <w:kinsoku/>
              <w:wordWrap/>
              <w:topLinePunct w:val="0"/>
              <w:bidi w:val="0"/>
              <w:adjustRightInd w:val="0"/>
              <w:snapToGrid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安装水电管道支架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77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w:t>
            </w:r>
          </w:p>
        </w:tc>
        <w:tc>
          <w:tcPr>
            <w:tcW w:w="2052"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切割机</w:t>
            </w:r>
          </w:p>
        </w:tc>
        <w:tc>
          <w:tcPr>
            <w:tcW w:w="123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2000-11-20</w:t>
            </w:r>
          </w:p>
        </w:tc>
        <w:tc>
          <w:tcPr>
            <w:tcW w:w="914"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4台</w:t>
            </w:r>
          </w:p>
        </w:tc>
        <w:tc>
          <w:tcPr>
            <w:tcW w:w="2872" w:type="dxa"/>
            <w:vAlign w:val="center"/>
          </w:tcPr>
          <w:p>
            <w:pPr>
              <w:pStyle w:val="5"/>
              <w:pageBreakBefore w:val="0"/>
              <w:kinsoku/>
              <w:wordWrap/>
              <w:topLinePunct w:val="0"/>
              <w:bidi w:val="0"/>
              <w:adjustRightInd w:val="0"/>
              <w:snapToGrid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水电管道及型钢</w:t>
            </w: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77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3</w:t>
            </w:r>
          </w:p>
        </w:tc>
        <w:tc>
          <w:tcPr>
            <w:tcW w:w="2052"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电焊机</w:t>
            </w:r>
          </w:p>
        </w:tc>
        <w:tc>
          <w:tcPr>
            <w:tcW w:w="123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103-300</w:t>
            </w:r>
          </w:p>
        </w:tc>
        <w:tc>
          <w:tcPr>
            <w:tcW w:w="914"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2台</w:t>
            </w:r>
          </w:p>
        </w:tc>
        <w:tc>
          <w:tcPr>
            <w:tcW w:w="2872" w:type="dxa"/>
            <w:vAlign w:val="center"/>
          </w:tcPr>
          <w:p>
            <w:pPr>
              <w:pStyle w:val="5"/>
              <w:pageBreakBefore w:val="0"/>
              <w:kinsoku/>
              <w:wordWrap/>
              <w:topLinePunct w:val="0"/>
              <w:bidi w:val="0"/>
              <w:adjustRightInd w:val="0"/>
              <w:snapToGrid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水电管道支架制作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77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4</w:t>
            </w:r>
          </w:p>
        </w:tc>
        <w:tc>
          <w:tcPr>
            <w:tcW w:w="2052"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电钻</w:t>
            </w:r>
          </w:p>
        </w:tc>
        <w:tc>
          <w:tcPr>
            <w:tcW w:w="123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GBM400</w:t>
            </w:r>
          </w:p>
        </w:tc>
        <w:tc>
          <w:tcPr>
            <w:tcW w:w="914"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2台</w:t>
            </w:r>
          </w:p>
        </w:tc>
        <w:tc>
          <w:tcPr>
            <w:tcW w:w="2872" w:type="dxa"/>
            <w:vAlign w:val="center"/>
          </w:tcPr>
          <w:p>
            <w:pPr>
              <w:pStyle w:val="5"/>
              <w:pageBreakBefore w:val="0"/>
              <w:kinsoku/>
              <w:wordWrap/>
              <w:topLinePunct w:val="0"/>
              <w:bidi w:val="0"/>
              <w:adjustRightInd w:val="0"/>
              <w:snapToGrid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水电管道支架制作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77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5</w:t>
            </w:r>
          </w:p>
        </w:tc>
        <w:tc>
          <w:tcPr>
            <w:tcW w:w="2052"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数字万用表</w:t>
            </w:r>
          </w:p>
        </w:tc>
        <w:tc>
          <w:tcPr>
            <w:tcW w:w="123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DT9205A</w:t>
            </w:r>
          </w:p>
        </w:tc>
        <w:tc>
          <w:tcPr>
            <w:tcW w:w="914"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3个</w:t>
            </w:r>
          </w:p>
        </w:tc>
        <w:tc>
          <w:tcPr>
            <w:tcW w:w="2872" w:type="dxa"/>
            <w:vAlign w:val="center"/>
          </w:tcPr>
          <w:p>
            <w:pPr>
              <w:pStyle w:val="4"/>
              <w:pageBreakBefore w:val="0"/>
              <w:kinsoku/>
              <w:wordWrap/>
              <w:topLinePunct w:val="0"/>
              <w:bidi w:val="0"/>
              <w:snapToGrid w:val="0"/>
              <w:spacing w:line="528" w:lineRule="auto"/>
              <w:ind w:left="0" w:leftChars="0" w:right="0" w:rightChars="0" w:firstLine="0" w:firstLineChars="0"/>
              <w:jc w:val="both"/>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报警系统线路绝缘测试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77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6</w:t>
            </w:r>
          </w:p>
        </w:tc>
        <w:tc>
          <w:tcPr>
            <w:tcW w:w="2052"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压力表</w:t>
            </w:r>
          </w:p>
        </w:tc>
        <w:tc>
          <w:tcPr>
            <w:tcW w:w="123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Y-100-1.6</w:t>
            </w:r>
          </w:p>
        </w:tc>
        <w:tc>
          <w:tcPr>
            <w:tcW w:w="914"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1只</w:t>
            </w:r>
          </w:p>
        </w:tc>
        <w:tc>
          <w:tcPr>
            <w:tcW w:w="2872" w:type="dxa"/>
            <w:vAlign w:val="center"/>
          </w:tcPr>
          <w:p>
            <w:pPr>
              <w:pStyle w:val="4"/>
              <w:pageBreakBefore w:val="0"/>
              <w:kinsoku/>
              <w:wordWrap/>
              <w:topLinePunct w:val="0"/>
              <w:bidi w:val="0"/>
              <w:snapToGrid w:val="0"/>
              <w:spacing w:line="528" w:lineRule="auto"/>
              <w:ind w:left="0" w:leftChars="0" w:right="0" w:rightChars="0" w:firstLine="0" w:firstLineChars="0"/>
              <w:jc w:val="both"/>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给排水管道水压强度试验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77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7</w:t>
            </w:r>
          </w:p>
        </w:tc>
        <w:tc>
          <w:tcPr>
            <w:tcW w:w="2052"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升降机</w:t>
            </w:r>
          </w:p>
        </w:tc>
        <w:tc>
          <w:tcPr>
            <w:tcW w:w="123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GTJZ10</w:t>
            </w:r>
          </w:p>
        </w:tc>
        <w:tc>
          <w:tcPr>
            <w:tcW w:w="914"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18台</w:t>
            </w:r>
          </w:p>
        </w:tc>
        <w:tc>
          <w:tcPr>
            <w:tcW w:w="2872" w:type="dxa"/>
            <w:vAlign w:val="center"/>
          </w:tcPr>
          <w:p>
            <w:pPr>
              <w:pStyle w:val="4"/>
              <w:pageBreakBefore w:val="0"/>
              <w:kinsoku/>
              <w:wordWrap/>
              <w:topLinePunct w:val="0"/>
              <w:bidi w:val="0"/>
              <w:snapToGrid w:val="0"/>
              <w:spacing w:line="528" w:lineRule="auto"/>
              <w:ind w:left="0" w:leftChars="0" w:right="0" w:rightChars="0" w:firstLine="0" w:firstLineChars="0"/>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水电设备及管道/支架安装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776"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8</w:t>
            </w:r>
          </w:p>
        </w:tc>
        <w:tc>
          <w:tcPr>
            <w:tcW w:w="2052"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pPr>
            <w:r>
              <w:rPr>
                <w:rFonts w:hint="eastAsia"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fldChar w:fldCharType="begin"/>
            </w:r>
            <w:r>
              <w:rPr>
                <w:rFonts w:hint="eastAsia"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instrText xml:space="preserve"> HYPERLINK "http://www.baidu.com/baidu.php?url=0f0000j97lX20D4QsnegmkjbpQp8yemXc5GAr2U6X1bI4BEMGHfTpJuIzQmLzNq2zWW3m_x_zsoXxbnsbu-Lamtu-u3rl08lPIhYyPXrITTilW1H9dkAievOr6zGb9OZ4xWkuPl-rPwk-kq7_z-VZnf95mcxALRBi083Gv6ZUGB1YN4GS6.Db_jAh5NCf_HAOx8LI5HbLTVHQ8gZJyAp7WG_tXMkR0.U1YY0ZDqznWcvtUL0A7bTgbqznWcvtUL0A7bTgfqn6Kspynqn0KY5gKsToMTznWcvtUL0A-V5HcsP0KM5gN-TZnk0ZNG5yF9pywdUAY0TA-b5HD40APGujYvn6KVIjYknjDLg1csPWFxnH0krNt1PW0k0AVG5H00TMfqnWmk0ANGujYkPjc4g1cknj6Yg1cznHR30AFG5HcsP7tznj-xnHRd0AdW5HmvrH04n1nLnNtknj6snW0krjR3g1mvrH04n1n3P-ts0Z7spyfqn0Kkmv-b5H00ThIYmyTqn0KEIhsqnH0YP1RVuZGxnH0LPH0VuZGxnH04rHmVnNtknH0kPaYkg1DknjnzQHczg1DknjmvQywlg1DknH03Qywlg1DkPHnLQHPxnHDvP16VuZGxnHcsnjbVuZGxnHckPW6VnNtknWnYPzdbX-tknWm1nzdbX-tknWT4PaY1g1D1nHczQywlg1D1nH64Qywlg1D1n1c1Qywlg1D1PWTkQH7xnHfknHmVuZGxnHfknWTVnNtkPjcsPBdbX-tkPjfLnidbX-tkPjRdraYzg1Ddnj0vQywlg1DdnHT1Qywlg1DdnW0zQywlg1Ddn1b1Qywlg1DdPjbLQywlg1DdPHn4QH7xnHRdP1fVuZGxnH6LrDsVnH0snj-xnWczQHKxPHnYQHR0mycqn7ts0ANzu1Ys0ZKs5HD4nHRLnWnkP1D0UMus5H08nj0snj0snj00Ugws5H00uAwETjYs0ZFJ5H00uANv5gKW0AuY5H00TA6qn0KET1Ys0AFL5HT0UMfqn0K1XWY0IZN15HD1nWb1rHcLnj6knjcsnWnzPW0v0ZF-TgfqnHRsP1R1njckPWm4PfK1pyfqrHfYnAD3Phfsnj0sP16LmsKWTvYqwRRzfWbzPRRdnj0vfW97w0K9m1Yk0ZK85H00TydY5H00Tyd15H00XMfqn0K9I7qVmgwWpjYk0A7YULIV5Hnkn6KVmdqhThqV5HKxn7tsg100uA78IyF-gLK_my4GuZnqn7tsg1Kxn0Ksmgwxuhk9u1Ys0AwYpyfqnsK-IA-b5iYk0A71TAPW5H00IgKGUhPW5H00Tydh5HDv0AuWIgfqn0KhXh6qn0Khmgfqn0KlTAkdT1Ys0A7buhk9u1Yk0Akhm1Ys0APzm1Yknjbvn0&amp;ck=4176.6.0.0.0.574.472.0&amp;shh=www.baidu.com&amp;sht=99556625_hao_pg" \t "https://www.baidu.com/_blank" </w:instrText>
            </w:r>
            <w:r>
              <w:rPr>
                <w:rFonts w:hint="eastAsia"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fldChar w:fldCharType="separate"/>
            </w:r>
            <w:r>
              <w:rPr>
                <w:rFonts w:hint="eastAsia"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t>ppr管热熔器</w:t>
            </w:r>
            <w:r>
              <w:rPr>
                <w:rFonts w:hint="eastAsia" w:asciiTheme="majorEastAsia" w:hAnsiTheme="majorEastAsia" w:eastAsiaTheme="majorEastAsia" w:cstheme="majorEastAsia"/>
                <w:b w:val="0"/>
                <w:color w:val="000000" w:themeColor="text1"/>
                <w:kern w:val="2"/>
                <w:sz w:val="24"/>
                <w:szCs w:val="24"/>
                <w:highlight w:val="none"/>
                <w:lang w:val="en-US" w:eastAsia="zh-CN" w:bidi="ar-SA"/>
                <w14:textFill>
                  <w14:solidFill>
                    <w14:schemeClr w14:val="tx1"/>
                  </w14:solidFill>
                </w14:textFill>
              </w:rPr>
              <w:fldChar w:fldCharType="end"/>
            </w: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1237"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tc>
        <w:tc>
          <w:tcPr>
            <w:tcW w:w="914" w:type="dxa"/>
            <w:vAlign w:val="center"/>
          </w:tcPr>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1台</w:t>
            </w:r>
          </w:p>
        </w:tc>
        <w:tc>
          <w:tcPr>
            <w:tcW w:w="2872" w:type="dxa"/>
            <w:vAlign w:val="center"/>
          </w:tcPr>
          <w:p>
            <w:pPr>
              <w:pStyle w:val="4"/>
              <w:pageBreakBefore w:val="0"/>
              <w:kinsoku/>
              <w:wordWrap/>
              <w:topLinePunct w:val="0"/>
              <w:bidi w:val="0"/>
              <w:snapToGrid w:val="0"/>
              <w:spacing w:line="528" w:lineRule="auto"/>
              <w:ind w:left="0" w:leftChars="0" w:right="0" w:rightChars="0" w:firstLine="0" w:firstLineChars="0"/>
              <w:jc w:val="cente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p>
        </w:tc>
      </w:tr>
    </w:tbl>
    <w:p>
      <w:pPr>
        <w:pStyle w:val="15"/>
        <w:pageBreakBefore w:val="0"/>
        <w:numPr>
          <w:ilvl w:val="0"/>
          <w:numId w:val="0"/>
        </w:numPr>
        <w:kinsoku/>
        <w:wordWrap/>
        <w:topLinePunct w:val="0"/>
        <w:bidi w:val="0"/>
        <w:spacing w:line="528" w:lineRule="auto"/>
        <w:ind w:right="0" w:rightChars="0"/>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pPr>
    </w:p>
    <w:p>
      <w:pPr>
        <w:pStyle w:val="15"/>
        <w:pageBreakBefore w:val="0"/>
        <w:numPr>
          <w:ilvl w:val="0"/>
          <w:numId w:val="0"/>
        </w:numPr>
        <w:kinsoku/>
        <w:wordWrap/>
        <w:topLinePunct w:val="0"/>
        <w:bidi w:val="0"/>
        <w:spacing w:line="528" w:lineRule="auto"/>
        <w:ind w:right="0" w:rightChars="0" w:firstLine="482" w:firstLineChars="200"/>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t>施工人员组织安排</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劳动力计划安排</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预留预埋阶段：</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电工：6人；        焊工：2人；</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 xml:space="preserve">管道工：2人； </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安装阶段：</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电工：26人；       焊工：2人；</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 xml:space="preserve">管道工：8人； </w:t>
      </w:r>
    </w:p>
    <w:p>
      <w:pPr>
        <w:pStyle w:val="15"/>
        <w:pageBreakBefore w:val="0"/>
        <w:numPr>
          <w:ilvl w:val="0"/>
          <w:numId w:val="0"/>
        </w:numPr>
        <w:kinsoku/>
        <w:wordWrap/>
        <w:topLinePunct w:val="0"/>
        <w:bidi w:val="0"/>
        <w:spacing w:line="528" w:lineRule="auto"/>
        <w:ind w:left="400" w:leftChars="0" w:right="0" w:rightChars="0"/>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注：根据工程进度调整施工人员数量</w:t>
      </w:r>
    </w:p>
    <w:p>
      <w:pPr>
        <w:pStyle w:val="15"/>
        <w:pageBreakBefore w:val="0"/>
        <w:numPr>
          <w:ilvl w:val="0"/>
          <w:numId w:val="0"/>
        </w:numPr>
        <w:kinsoku/>
        <w:wordWrap/>
        <w:topLinePunct w:val="0"/>
        <w:bidi w:val="0"/>
        <w:spacing w:line="528" w:lineRule="auto"/>
        <w:ind w:left="400" w:leftChars="0" w:right="0" w:rightChars="0"/>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Style w:val="15"/>
        <w:pageBreakBefore w:val="0"/>
        <w:numPr>
          <w:ilvl w:val="0"/>
          <w:numId w:val="0"/>
        </w:numPr>
        <w:kinsoku/>
        <w:wordWrap/>
        <w:topLinePunct w:val="0"/>
        <w:bidi w:val="0"/>
        <w:spacing w:line="528" w:lineRule="auto"/>
        <w:ind w:right="0" w:rightChars="0"/>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t>施工进度计划</w:t>
      </w:r>
    </w:p>
    <w:p>
      <w:pPr>
        <w:pStyle w:val="15"/>
        <w:pageBreakBefore w:val="0"/>
        <w:numPr>
          <w:ilvl w:val="0"/>
          <w:numId w:val="0"/>
        </w:numPr>
        <w:kinsoku/>
        <w:wordWrap/>
        <w:topLinePunct w:val="0"/>
        <w:bidi w:val="0"/>
        <w:spacing w:line="528" w:lineRule="auto"/>
        <w:ind w:left="400" w:leftChars="0" w:right="0" w:rightChars="0"/>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pPr>
    </w:p>
    <w:p>
      <w:pPr>
        <w:pStyle w:val="15"/>
        <w:pageBreakBefore w:val="0"/>
        <w:numPr>
          <w:ilvl w:val="0"/>
          <w:numId w:val="3"/>
        </w:numPr>
        <w:kinsoku/>
        <w:wordWrap/>
        <w:topLinePunct w:val="0"/>
        <w:bidi w:val="0"/>
        <w:spacing w:line="528" w:lineRule="auto"/>
        <w:ind w:left="420" w:leftChars="0" w:right="0" w:rightChars="0" w:hanging="420" w:firstLineChars="0"/>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水电工程预埋工作紧跟结构进度，在结构浇筑混凝土前完成所有预埋工作。</w:t>
      </w:r>
    </w:p>
    <w:p>
      <w:pPr>
        <w:pStyle w:val="15"/>
        <w:pageBreakBefore w:val="0"/>
        <w:numPr>
          <w:ilvl w:val="0"/>
          <w:numId w:val="3"/>
        </w:numPr>
        <w:kinsoku/>
        <w:wordWrap/>
        <w:topLinePunct w:val="0"/>
        <w:bidi w:val="0"/>
        <w:spacing w:line="528" w:lineRule="auto"/>
        <w:ind w:left="420" w:leftChars="0" w:right="0" w:rightChars="0" w:hanging="420" w:firstLineChars="0"/>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Cs/>
          <w:color w:val="000000" w:themeColor="text1"/>
          <w:sz w:val="24"/>
          <w:szCs w:val="24"/>
          <w:highlight w:val="none"/>
          <w:lang w:eastAsia="zh-CN"/>
          <w14:textFill>
            <w14:solidFill>
              <w14:schemeClr w14:val="tx1"/>
            </w14:solidFill>
          </w14:textFill>
        </w:rPr>
        <w:t>接地和防雷</w:t>
      </w: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系统</w:t>
      </w: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在结构浇筑混凝土前完成。</w:t>
      </w:r>
    </w:p>
    <w:p>
      <w:pPr>
        <w:pStyle w:val="15"/>
        <w:pageBreakBefore w:val="0"/>
        <w:numPr>
          <w:ilvl w:val="0"/>
          <w:numId w:val="3"/>
        </w:numPr>
        <w:kinsoku/>
        <w:wordWrap/>
        <w:topLinePunct w:val="0"/>
        <w:bidi w:val="0"/>
        <w:spacing w:line="528" w:lineRule="auto"/>
        <w:ind w:left="420" w:leftChars="0" w:right="0" w:rightChars="0" w:hanging="420" w:firstLineChars="0"/>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bCs/>
          <w:color w:val="000000" w:themeColor="text1"/>
          <w:sz w:val="24"/>
          <w:szCs w:val="24"/>
          <w:highlight w:val="none"/>
          <w:lang w:eastAsia="zh-CN"/>
          <w14:textFill>
            <w14:solidFill>
              <w14:schemeClr w14:val="tx1"/>
            </w14:solidFill>
          </w14:textFill>
        </w:rPr>
        <w:t>配电、照明</w:t>
      </w:r>
      <w:r>
        <w:rPr>
          <w:rFonts w:hint="eastAsia" w:asciiTheme="majorEastAsia" w:hAnsiTheme="majorEastAsia" w:eastAsiaTheme="majorEastAsia" w:cstheme="majorEastAsia"/>
          <w:bCs/>
          <w:color w:val="000000" w:themeColor="text1"/>
          <w:sz w:val="24"/>
          <w:szCs w:val="24"/>
          <w:highlight w:val="none"/>
          <w14:textFill>
            <w14:solidFill>
              <w14:schemeClr w14:val="tx1"/>
            </w14:solidFill>
          </w14:textFill>
        </w:rPr>
        <w:t>系统</w:t>
      </w: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于2017年10月1日开始，按照甲方要求在2018年2月完成，4月底完成调试。</w:t>
      </w:r>
    </w:p>
    <w:p>
      <w:pPr>
        <w:pStyle w:val="15"/>
        <w:pageBreakBefore w:val="0"/>
        <w:numPr>
          <w:ilvl w:val="0"/>
          <w:numId w:val="3"/>
        </w:numPr>
        <w:kinsoku/>
        <w:wordWrap/>
        <w:topLinePunct w:val="0"/>
        <w:bidi w:val="0"/>
        <w:spacing w:line="528" w:lineRule="auto"/>
        <w:ind w:left="420" w:leftChars="0" w:right="0" w:rightChars="0" w:hanging="420" w:firstLineChars="0"/>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pPr>
      <w:r>
        <w:rPr>
          <w:rFonts w:hint="eastAsia" w:asciiTheme="majorEastAsia" w:hAnsiTheme="majorEastAsia" w:eastAsiaTheme="majorEastAsia" w:cstheme="majorEastAsia"/>
          <w:bCs/>
          <w:color w:val="000000" w:themeColor="text1"/>
          <w:sz w:val="24"/>
          <w:szCs w:val="24"/>
          <w:highlight w:val="none"/>
          <w:lang w:eastAsia="zh-CN"/>
          <w14:textFill>
            <w14:solidFill>
              <w14:schemeClr w14:val="tx1"/>
            </w14:solidFill>
          </w14:textFill>
        </w:rPr>
        <w:t>生活给水系统、污废水系统、雨水系统</w:t>
      </w:r>
      <w:r>
        <w:rPr>
          <w:rFonts w:hint="eastAsia" w:asciiTheme="majorEastAsia" w:hAnsiTheme="majorEastAsia" w:eastAsiaTheme="majorEastAsia" w:cstheme="majorEastAsia"/>
          <w:color w:val="000000" w:themeColor="text1"/>
          <w:sz w:val="24"/>
          <w:szCs w:val="24"/>
          <w:highlight w:val="none"/>
          <w:vertAlign w:val="baseline"/>
          <w:lang w:val="en-US" w:eastAsia="zh-CN"/>
          <w14:textFill>
            <w14:solidFill>
              <w14:schemeClr w14:val="tx1"/>
            </w14:solidFill>
          </w14:textFill>
        </w:rPr>
        <w:t>于2017年10月1日开始，按照甲方要求在4月底完成所有给排水调试。</w:t>
      </w:r>
    </w:p>
    <w:p>
      <w:pPr>
        <w:pageBreakBefore w:val="0"/>
        <w:kinsoku/>
        <w:wordWrap/>
        <w:topLinePunct w:val="0"/>
        <w:bidi w:val="0"/>
        <w:spacing w:line="528" w:lineRule="auto"/>
        <w:ind w:right="0" w:rightChars="0"/>
        <w:jc w:val="both"/>
        <w:rPr>
          <w:rFonts w:hint="eastAsia" w:asciiTheme="majorEastAsia" w:hAnsiTheme="majorEastAsia" w:eastAsiaTheme="majorEastAsia" w:cstheme="majorEastAsia"/>
          <w:b/>
          <w:bCs/>
          <w:color w:val="000000" w:themeColor="text1"/>
          <w:sz w:val="24"/>
          <w:szCs w:val="24"/>
          <w:highlight w:val="none"/>
          <w:u w:val="double"/>
          <w:lang w:val="en-US" w:eastAsia="zh-CN"/>
          <w14:textFill>
            <w14:solidFill>
              <w14:schemeClr w14:val="tx1"/>
            </w14:solidFill>
          </w14:textFill>
        </w:rPr>
      </w:pPr>
    </w:p>
    <w:p>
      <w:pPr>
        <w:pageBreakBefore w:val="0"/>
        <w:kinsoku/>
        <w:wordWrap/>
        <w:topLinePunct w:val="0"/>
        <w:bidi w:val="0"/>
        <w:spacing w:line="528" w:lineRule="auto"/>
        <w:ind w:right="0" w:rightChars="0"/>
        <w:jc w:val="both"/>
        <w:rPr>
          <w:rFonts w:hint="eastAsia" w:asciiTheme="majorEastAsia" w:hAnsiTheme="majorEastAsia" w:eastAsiaTheme="majorEastAsia" w:cstheme="majorEastAsia"/>
          <w:b/>
          <w:bCs/>
          <w:color w:val="000000" w:themeColor="text1"/>
          <w:sz w:val="24"/>
          <w:szCs w:val="24"/>
          <w:highlight w:val="none"/>
          <w:u w:val="double"/>
          <w:lang w:val="en-US" w:eastAsia="zh-CN"/>
          <w14:textFill>
            <w14:solidFill>
              <w14:schemeClr w14:val="tx1"/>
            </w14:solidFill>
          </w14:textFill>
        </w:rPr>
      </w:pPr>
    </w:p>
    <w:p>
      <w:pPr>
        <w:pageBreakBefore w:val="0"/>
        <w:kinsoku/>
        <w:wordWrap/>
        <w:topLinePunct w:val="0"/>
        <w:bidi w:val="0"/>
        <w:spacing w:line="528" w:lineRule="auto"/>
        <w:ind w:right="0" w:rightChars="0"/>
        <w:jc w:val="both"/>
        <w:rPr>
          <w:rFonts w:hint="eastAsia" w:asciiTheme="majorEastAsia" w:hAnsiTheme="majorEastAsia" w:eastAsiaTheme="majorEastAsia" w:cstheme="majorEastAsia"/>
          <w:b/>
          <w:bCs/>
          <w:color w:val="000000" w:themeColor="text1"/>
          <w:sz w:val="24"/>
          <w:szCs w:val="24"/>
          <w:highlight w:val="none"/>
          <w:u w:val="double"/>
          <w:lang w:val="en-US"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color w:val="000000" w:themeColor="text1"/>
          <w:sz w:val="24"/>
          <w:szCs w:val="24"/>
          <w:highlight w:val="none"/>
          <w:u w:val="doubl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u w:val="double"/>
          <w:lang w:val="en-US" w:eastAsia="zh-CN"/>
          <w14:textFill>
            <w14:solidFill>
              <w14:schemeClr w14:val="tx1"/>
            </w14:solidFill>
          </w14:textFill>
        </w:rPr>
        <w:t>电气安装施工安装方案</w:t>
      </w: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color w:val="000000" w:themeColor="text1"/>
          <w:sz w:val="24"/>
          <w:szCs w:val="24"/>
          <w:highlight w:val="none"/>
          <w:u w:val="doubl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t>配电、照明、接地和防雷系统</w:t>
      </w:r>
    </w:p>
    <w:p>
      <w:pPr>
        <w:pStyle w:val="3"/>
        <w:keepNext w:val="0"/>
        <w:pageBreakBefore w:val="0"/>
        <w:kinsoku/>
        <w:wordWrap/>
        <w:overflowPunct/>
        <w:topLinePunct w:val="0"/>
        <w:autoSpaceDE/>
        <w:autoSpaceDN/>
        <w:bidi w:val="0"/>
        <w:spacing w:line="528" w:lineRule="auto"/>
        <w:ind w:right="0" w:rightChars="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bookmarkStart w:id="0" w:name="_Toc446494744"/>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强电部分</w:t>
      </w:r>
      <w:bookmarkEnd w:id="0"/>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本工程为二级负荷用电单位，由市政提供一路10KV电源,备用电源采用柴油发电机,普通低压母线供电为单母线分段运行方式;应急低压母线为单母线分段运行方式。负荷分级：各类场所的应急照明、消防控制室、火灾自动报警及联动控制装置、防排烟设备、消防水泵、防火卷帘、电梯电源、等为二级负荷，其他为三级负荷。仓库办公照明，部分仓库照明，室外重要照明等为重要负荷采用二级负荷供电。</w:t>
      </w:r>
    </w:p>
    <w:p>
      <w:pPr>
        <w:pageBreakBefore w:val="0"/>
        <w:kinsoku/>
        <w:wordWrap/>
        <w:topLinePunct w:val="0"/>
        <w:bidi w:val="0"/>
        <w:spacing w:line="528" w:lineRule="auto"/>
        <w:ind w:right="0" w:rightChars="0"/>
        <w:rPr>
          <w:rFonts w:hint="eastAsia"/>
          <w:color w:val="000000" w:themeColor="text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.1主要施工程序</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本电气安装工程，很大部分配合土建预留、预埋，为确保工程质量和进度，施工前认真熟悉图纸，施工中精心组织，合理安排，并密切配合好土建施工进度，做到预留预埋一次到位，且位置正确，防止漏留少埋。施工程序如下：</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预留预埋——线管敷设——管内穿线——基础支架制作与安装——配电箱柜安装——桥架安装——电缆敷设——灯具开关</w:t>
      </w: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插座</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强电设备安装及调试——灯具、电机试调——单机调试——联动调试——竣工验收。</w:t>
      </w:r>
    </w:p>
    <w:p>
      <w:pPr>
        <w:pageBreakBefore w:val="0"/>
        <w:kinsoku/>
        <w:wordWrap/>
        <w:overflowPunct/>
        <w:topLinePunct w:val="0"/>
        <w:autoSpaceDE/>
        <w:autoSpaceDN/>
        <w:bidi w:val="0"/>
        <w:spacing w:line="528" w:lineRule="auto"/>
        <w:ind w:right="0" w:rightChars="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.2主要施工方法及技术要求</w:t>
      </w:r>
    </w:p>
    <w:p>
      <w:pPr>
        <w:pageBreakBefore w:val="0"/>
        <w:kinsoku/>
        <w:wordWrap/>
        <w:overflowPunct/>
        <w:topLinePunct w:val="0"/>
        <w:autoSpaceDE/>
        <w:autoSpaceDN/>
        <w:bidi w:val="0"/>
        <w:spacing w:line="528" w:lineRule="auto"/>
        <w:ind w:right="0" w:rightChars="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w:t>
      </w:r>
      <w:r>
        <w:rPr>
          <w:rFonts w:hint="eastAsia" w:asciiTheme="majorEastAsia" w:hAnsiTheme="majorEastAsia" w:eastAsiaTheme="majorEastAsia" w:cstheme="majorEastAsia"/>
          <w:color w:val="000000" w:themeColor="text1"/>
          <w:kern w:val="1"/>
          <w:sz w:val="24"/>
          <w:szCs w:val="24"/>
          <w:highlight w:val="none"/>
          <w:lang w:val="en-US" w:eastAsia="zh-CN"/>
          <w14:textFill>
            <w14:solidFill>
              <w14:schemeClr w14:val="tx1"/>
            </w14:solidFill>
          </w14:textFill>
        </w:rPr>
        <w:t>2</w:t>
      </w: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w:t>
      </w:r>
      <w:r>
        <w:rPr>
          <w:rFonts w:hint="eastAsia" w:asciiTheme="majorEastAsia" w:hAnsiTheme="majorEastAsia" w:eastAsiaTheme="majorEastAsia" w:cstheme="majorEastAsia"/>
          <w:color w:val="000000" w:themeColor="text1"/>
          <w:kern w:val="1"/>
          <w:sz w:val="24"/>
          <w:szCs w:val="24"/>
          <w:highlight w:val="none"/>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电气配管</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平台暗配管安排在模板支好后进行画线定位，在底层钢筋绑扎完成后，上层钢筋未绑扎之前，按施工图纸进行施工。</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1、切断钢管：用钢锯或切割机断管，钢管无折扁和裂缝，切断口锉平，管口刮光，杜绝毛刺现象。</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弯管：管径为20mm及其以下，用手扳弯管器，先将管子插入煨弯器，逐步弯出所需角度。管径为25mm及其以上时，使用液压弯管器，先将钢管放入模具，然后启动煨弯器，逐步弯出所需角度。对于管径较大的钢管煨弯，采用加热煨弯，灌砂后塞上木塞，再加热煨弯。</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3、连接：管子之间连接采用扣压式连接，进入线盒在现浇平台采用插入式连接，进入线盒在砼墙内暗敷时采用琐母连接。 镀锌的钢导管、可挠性导管和金属线槽不得熔焊跨接接地线，以专用接地卡跨接的两卡间连线为铜芯软导线，截面积不小于4mm2.</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4、敷设：根据土建进度密切配合，暗配的电线管按设计图纸沿最近的线路敷设并减少弯曲，埋入墙或混凝土的管子离表面的净距不小于15mm。在土建结构具备明管敷设时，根据施工图纸在顶板上定位弹线，用电锤钻眼，用尼龙胀管及马鞍卡固定线管，线管进入灯盒应弯乙字弯，线管交叉处应煨弯为欧姆弯，明管敷设时的切管、弯管、同暗管敷设，明管连接方式为丝口连接。</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5、质量要求：</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在浇灌混凝土之前，先将管子用垫块垫高15mm以上，使管与模板间保持足够的保护层距离，再将管子用钢丝绑扎在钢筋上。接线盒紧贴墙面，做到拆模后盒边与砼墙面相平。</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①电线管超过下列长度时，中间加装接线盒或拉线盒，其位置便于穿线：</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a.管子长度每超过30米，无弯曲；</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b.管子长度每超过20米，有一个弯曲；</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c.管子长度每超过15米，有两个弯曲；</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d.管子长度每超过8米，有三个弯曲；</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②垂直敷设的电线保护管遇下列情况之一时，增设固定导线用的拉线盒：</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a.管内导线截面为50mm2及以下，长度每超过30米；</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b.管内导线截面为70——95mm2，长度每超过20米；</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c.管内导线截面为120——240mm2，长度每超过18米；</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③水平或垂直敷设的明管允许偏差2米内≤3mm，全长不应超过管内径的1/2。</w:t>
      </w:r>
    </w:p>
    <w:p>
      <w:pPr>
        <w:pageBreakBefore w:val="0"/>
        <w:kinsoku/>
        <w:wordWrap/>
        <w:overflowPunct/>
        <w:topLinePunct w:val="0"/>
        <w:autoSpaceDE/>
        <w:autoSpaceDN/>
        <w:bidi w:val="0"/>
        <w:spacing w:line="528" w:lineRule="auto"/>
        <w:ind w:right="0" w:rightChars="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.2.2金属软管敷设</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 xml:space="preserve">钢管与电气设备、器具间的电线保护管宜采用金属软管或金属电线保护管；在动力工程中金属软管的长度不大于0.8m，在照明工程中金属软管的长度不大于1.2m。 </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金属软管无退绞、松散，中间无接头，与设备、器具连接时，采用专有接头，连接处密封可靠。</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金属软管的安装按下列要求：</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弯曲半径不小于软管外径的6倍。</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固定点间距不大于1m，管卡与终端、弯头中点的间距宜为300mm。</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与嵌入式灯具或类似器具连接的金属软管，其末端的固定管卡，安装在自灯具、器具边缘起沿软管长度的1m处。</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金属软管做可靠接地，且不作为电气设备的接地导体。</w:t>
      </w:r>
    </w:p>
    <w:p>
      <w:pPr>
        <w:pageBreakBefore w:val="0"/>
        <w:kinsoku/>
        <w:wordWrap/>
        <w:overflowPunct/>
        <w:topLinePunct w:val="0"/>
        <w:autoSpaceDE/>
        <w:autoSpaceDN/>
        <w:bidi w:val="0"/>
        <w:spacing w:line="528" w:lineRule="auto"/>
        <w:ind w:right="0" w:rightChars="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.2.3管内穿线与接线</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管内穿线在建筑物的抹灰及地面工程结束后进行。在穿线前，先将管中的积水及杂物清除干净，较短并便于活动的场所采用扫管的方法，使用吹管方法时，采用V-0.6T空压机，将压力保持在0.5Mpa，将送气软管插入需要吹扫的管路一端，吹管时，两人进行，注意保护出口端的建筑成品和他人的安全，吹管完毕，向管内吹入少量滑石粉，将管子端安上护口。</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导线的分色：为了保证安全和施工方便，各用电回路接线色标要求A相为黄色，B相为绿色，C相为红色，N（中性线）为淡蓝色，PE保护线为绿/黄双色。</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施工前根据设计图纸要求选择导线，采用ф1.6的钢丝作为带线穿入管路，并在管路两端留有15cm的余量，在管路较长或转弯较多时可在敷设管路的同时将带线一并穿好。</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断线时导线的预留长度按下列四种情况考虑：</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1、接线盒、开关盒、灯头盒、插座盒内的导线预留长度应为15cm。</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2、配电箱内的导线预留长度为配电箱箱体周长的1/2。</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3、出户导线的预留长度为1.5米。</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4、公用导线的分支处，可不剪断导线而直接穿过。</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导线的连接按下列规定：</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a.截面为2.5mm2及以下的多股铜芯导线线芯先拧紧搪锡或压接端子后与设备、器具的端子连接。</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b.截面大于2.5mm2的多股铜芯导线的终端，除设备自带插接式端子外，焊接或压接端子后再与设备、器具的端子连接。</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导线在管内不得有接头和扭结，其接头在接线盒内连接，导线穿入钢管内，在导线出口处，加装保护导线。在不进入盒（箱）内的垂直管口，穿入导线后，将管口作密封处理，铁制接线盒刷防锈漆两遍。</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质量要求：</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a.穿在管内绝缘导线的额定电压不应低于500V。</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b.不同回路，不同电压等级和交流与直流的导线不得穿入同一根管子内，但下列几种回路除外：</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①电压为65V及以下的回路；</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②同一台设备的电机回路和无抗干扰要求的控制回路；</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③照明的所有回路；</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④同类照明的几个回路，但管内导线总数不应多于8根；</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c.同一交流回路的导线必须穿于同一根管内；</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d.管内导线的总面积（包括外保护层）不应超过管子截面积的40％；</w:t>
      </w:r>
    </w:p>
    <w:p>
      <w:pPr>
        <w:pageBreakBefore w:val="0"/>
        <w:kinsoku/>
        <w:wordWrap/>
        <w:overflowPunct/>
        <w:topLinePunct w:val="0"/>
        <w:autoSpaceDE/>
        <w:autoSpaceDN/>
        <w:bidi w:val="0"/>
        <w:spacing w:line="528" w:lineRule="auto"/>
        <w:ind w:right="0" w:rightChars="0" w:firstLine="480"/>
        <w:jc w:val="left"/>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e.电缆管的内径与电缆线径之比不得小于1.5倍，每根电缆的弯头不得超过3个。</w:t>
      </w:r>
    </w:p>
    <w:p>
      <w:pPr>
        <w:pageBreakBefore w:val="0"/>
        <w:kinsoku/>
        <w:wordWrap/>
        <w:overflowPunct/>
        <w:topLinePunct w:val="0"/>
        <w:autoSpaceDE/>
        <w:autoSpaceDN/>
        <w:bidi w:val="0"/>
        <w:spacing w:line="528" w:lineRule="auto"/>
        <w:ind w:right="0" w:rightChars="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.2.4基础及支架安装</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设备基础型钢安装前首先除锈、找平，然后根据土建及设备底座几何尺寸加工并刷好防锈漆。按施工图所标位置，将预制好的基础型钢架放在预埋铁件上。</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用水准仪或水平尺找正、找平。将基础型钢架、预埋铁件、垫片用电焊焊牢，使基础安装后其顶部高于抹平地面10mm，基础型钢安装时，其允许偏差应符合：</w:t>
      </w:r>
    </w:p>
    <w:tbl>
      <w:tblPr>
        <w:tblStyle w:val="13"/>
        <w:tblW w:w="5339" w:type="dxa"/>
        <w:tblInd w:w="14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470"/>
        <w:gridCol w:w="1155"/>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058"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序号</w:t>
            </w:r>
          </w:p>
        </w:tc>
        <w:tc>
          <w:tcPr>
            <w:tcW w:w="147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项 目</w:t>
            </w:r>
          </w:p>
        </w:tc>
        <w:tc>
          <w:tcPr>
            <w:tcW w:w="2811" w:type="dxa"/>
            <w:gridSpan w:val="2"/>
            <w:vAlign w:val="center"/>
          </w:tcPr>
          <w:p>
            <w:pPr>
              <w:pageBreakBefore w:val="0"/>
              <w:kinsoku/>
              <w:wordWrap/>
              <w:overflowPunct/>
              <w:topLinePunct w:val="0"/>
              <w:autoSpaceDE/>
              <w:autoSpaceDN/>
              <w:bidi w:val="0"/>
              <w:spacing w:line="528" w:lineRule="auto"/>
              <w:ind w:right="0" w:rightChars="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允 许 偏 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058"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1</w:t>
            </w:r>
          </w:p>
        </w:tc>
        <w:tc>
          <w:tcPr>
            <w:tcW w:w="1470"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垂直度</w:t>
            </w:r>
          </w:p>
        </w:tc>
        <w:tc>
          <w:tcPr>
            <w:tcW w:w="1155"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每 米</w:t>
            </w:r>
          </w:p>
        </w:tc>
        <w:tc>
          <w:tcPr>
            <w:tcW w:w="1656" w:type="dxa"/>
            <w:vAlign w:val="center"/>
          </w:tcPr>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058" w:type="dxa"/>
            <w:vMerge w:val="continue"/>
            <w:vAlign w:val="center"/>
          </w:tcPr>
          <w:p>
            <w:pPr>
              <w:pageBreakBefore w:val="0"/>
              <w:kinsoku/>
              <w:wordWrap/>
              <w:overflowPunct/>
              <w:topLinePunct w:val="0"/>
              <w:autoSpaceDE/>
              <w:autoSpaceDN/>
              <w:bidi w:val="0"/>
              <w:spacing w:line="528" w:lineRule="auto"/>
              <w:ind w:right="0" w:rightChars="0" w:firstLine="48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p>
        </w:tc>
        <w:tc>
          <w:tcPr>
            <w:tcW w:w="1470" w:type="dxa"/>
            <w:vMerge w:val="continue"/>
            <w:vAlign w:val="center"/>
          </w:tcPr>
          <w:p>
            <w:pPr>
              <w:pageBreakBefore w:val="0"/>
              <w:kinsoku/>
              <w:wordWrap/>
              <w:overflowPunct/>
              <w:topLinePunct w:val="0"/>
              <w:autoSpaceDE/>
              <w:autoSpaceDN/>
              <w:bidi w:val="0"/>
              <w:spacing w:line="528" w:lineRule="auto"/>
              <w:ind w:right="0" w:rightChars="0" w:firstLine="48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p>
        </w:tc>
        <w:tc>
          <w:tcPr>
            <w:tcW w:w="1155"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全 长</w:t>
            </w:r>
          </w:p>
        </w:tc>
        <w:tc>
          <w:tcPr>
            <w:tcW w:w="1656" w:type="dxa"/>
            <w:vAlign w:val="center"/>
          </w:tcPr>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058"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w:t>
            </w:r>
          </w:p>
        </w:tc>
        <w:tc>
          <w:tcPr>
            <w:tcW w:w="1470"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水平度</w:t>
            </w:r>
          </w:p>
        </w:tc>
        <w:tc>
          <w:tcPr>
            <w:tcW w:w="1155"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每 米</w:t>
            </w:r>
          </w:p>
        </w:tc>
        <w:tc>
          <w:tcPr>
            <w:tcW w:w="1656" w:type="dxa"/>
            <w:vAlign w:val="center"/>
          </w:tcPr>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058" w:type="dxa"/>
            <w:vMerge w:val="continue"/>
            <w:vAlign w:val="center"/>
          </w:tcPr>
          <w:p>
            <w:pPr>
              <w:pageBreakBefore w:val="0"/>
              <w:kinsoku/>
              <w:wordWrap/>
              <w:overflowPunct/>
              <w:topLinePunct w:val="0"/>
              <w:autoSpaceDE/>
              <w:autoSpaceDN/>
              <w:bidi w:val="0"/>
              <w:spacing w:line="528" w:lineRule="auto"/>
              <w:ind w:right="0" w:rightChars="0" w:firstLine="48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p>
        </w:tc>
        <w:tc>
          <w:tcPr>
            <w:tcW w:w="1470" w:type="dxa"/>
            <w:vMerge w:val="continue"/>
            <w:vAlign w:val="center"/>
          </w:tcPr>
          <w:p>
            <w:pPr>
              <w:pageBreakBefore w:val="0"/>
              <w:kinsoku/>
              <w:wordWrap/>
              <w:overflowPunct/>
              <w:topLinePunct w:val="0"/>
              <w:autoSpaceDE/>
              <w:autoSpaceDN/>
              <w:bidi w:val="0"/>
              <w:spacing w:line="528" w:lineRule="auto"/>
              <w:ind w:right="0" w:rightChars="0" w:firstLine="48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p>
        </w:tc>
        <w:tc>
          <w:tcPr>
            <w:tcW w:w="1155"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全 长</w:t>
            </w:r>
          </w:p>
        </w:tc>
        <w:tc>
          <w:tcPr>
            <w:tcW w:w="1656" w:type="dxa"/>
            <w:vAlign w:val="center"/>
          </w:tcPr>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5mm</w:t>
            </w:r>
          </w:p>
        </w:tc>
      </w:tr>
    </w:tbl>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基础型钢安装完毕后，焊好地线，保证接地可靠。</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支架所用型钢平直，无明显扭曲，下料后长短差在5mm范围内，切口处无卷边毛刺，支架、托架、吊架征求甲方同意后，可作特殊防锈处理，支持点的位置按设计要求，无设计要求时按规范规定。</w:t>
      </w:r>
    </w:p>
    <w:p>
      <w:pPr>
        <w:pageBreakBefore w:val="0"/>
        <w:kinsoku/>
        <w:wordWrap/>
        <w:overflowPunct/>
        <w:topLinePunct w:val="0"/>
        <w:autoSpaceDE/>
        <w:autoSpaceDN/>
        <w:bidi w:val="0"/>
        <w:spacing w:line="528" w:lineRule="auto"/>
        <w:ind w:right="0" w:rightChars="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.2.5桥架安装与配线</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桥架安装在土建主体施工、设备及其钢结构安装后进行，桥架按施工图及供货方提供需安装资料所要求的进行施工，并结合现场实际情况进行合理调整。</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桥架应平整、无扭曲变形，内壁无毛刺，各种附件齐全。</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桥架的接口平整，接缝处紧密平直，盖板无翘角，接口严密整齐，拐角、转角丁字连接正确严实，内外无污染。</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根据设计图确定进盒、箱、柜等电气器具的安装位置，从始端至终端找好水平或垂直线，按照施工图的要求及施工规范规定，分匀档距并标出具体位置。</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根据设计图标注的轴线部位，将预制好的木制框架，固定在标出的位置上，并进行调直找正，待混凝土模板拆除后，拆下框架，并抹平洞口。</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金属膨胀螺栓安装要求：钻孔直径的误差不得小于+0.5～0.3mm，深度误差不得超过+3mm，钻孔后将孔内残存的碎屑清除干净。螺栓固定后，其头部偏差值不大于2mm。</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金属膨胀螺栓安装方法：沿着墙壁或顶板根据设计图进行弹线定位，标出固定点的位置，根据支架或吊架承重的荷重，选择相应的金属膨胀螺栓及钻头，打孔的深度适宜，保证螺栓的套管与建筑物表面平齐，螺栓端部外露，敲击时不得损伤螺栓的丝扣，埋好螺栓后，可用螺母配上相应的垫圈将支架与吊架直接固定在金属膨胀螺栓上，不允许将穿过墙壁的桥架与墙上的孔洞一起抹死。</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桥架采用螺栓连接，固定时用平滑的半圆头螺栓螺帽，在桥架外侧进行固定，固定要牢靠。桥架安装排列整齐、横平竖直，拐弯时拐直角弯，其最小点的弯曲半径不大于槽内最粗电缆外径的1.2倍，当直接由桥架引出电缆时，用机械加工法，用开孔器开孔，并采用合适的护圈保护。进入桥架的钢管用锁紧螺母内外固定。</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金属桥架本身应加载跨接线，使之成为连续的导体，全长应不少于2处与接地（PE）或接零（PEN）干线相连接，但不作接地导体用。</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桥架水平或垂直敷设，直线部分的平直度和垂直度允许偏差不超过5mm。</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桥架与侧墙净距大于50mm，与一般工艺管道和通风管道平行净距大于40mm，交叉净距大于30mm，与热力管道水平净距、交叉净距大于50mm。</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桥架穿过楼板及墙体时，应采用石棉枕或石棉绳等防火材料将桥架四周堵实。</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配线前清除桥架内的积水及污物，在同一桥架内的导线截面积总和不超过内部截面积的60%，严禁强弱混用(一定混用，可用金属隔板分隔)。</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在穿过建筑物的变形缝时，增设过线盒，用金属软管连接，软管导线要留有补偿余量。</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桥架内的导线理顺平直，并绑扎成束。</w:t>
      </w:r>
    </w:p>
    <w:p>
      <w:pPr>
        <w:pageBreakBefore w:val="0"/>
        <w:kinsoku/>
        <w:wordWrap/>
        <w:overflowPunct/>
        <w:topLinePunct w:val="0"/>
        <w:autoSpaceDE/>
        <w:autoSpaceDN/>
        <w:bidi w:val="0"/>
        <w:spacing w:line="528" w:lineRule="auto"/>
        <w:ind w:right="0" w:rightChars="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.2.6配电柜（箱）安装</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动力配电柜（箱）具有产品合格证、说明书，并对实物进行检查验收，其金属柜（箱）无变形，油漆无脱落，表面平整，电气设备组件无缺损，导线排列整齐，压接牢固，附件齐全并会同甲方共同做好开箱验收记录。</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落地式配电柜安装前，根据设计图纸要求核对实物尺寸后，再制作加工基础槽钢，槽钢上为螺孔钻孔，并做基础槽钢的防腐，安装平整牢固，接地可靠。</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柜（箱）及其支架接地（零）支线敷设，连接紧密、牢固，接地（零）线截面选用正确，需防腐的部分涂漆均匀无遗漏。线路走向合理，色标准确，涂刷后不污染设备和建筑物。</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本工程所有配电箱及地上电缆井内配电箱都采用在混凝土墙体明装。因此，在预留预埋过程中选择大小适当的自制盒作为分线盒，其数量及大小由现场实际情况确定，经甲方或监理认可后进行签证。明装配电箱安装前，先将盒内杂物清理干净，导线理顺，分清支路和相序，按支路绑扎成束，待箱确定标高固定后，将导线端头引至箱内进行接线，配电箱选用膨胀螺栓固定，在安装前先定位，找准固定点，用冲击钻在固定点位置钻孔。</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引进盘柜的电缆排列整齐，固定可靠，避免交叉，不使所接的端子受到机械应力。铠装电缆的钢带，不可进入柜内，把铠装钢带切断处的端部扎紧并做重复接地。柜内的电缆线芯，按垂直或水平有规律地配置，不得任意歪斜和交叉连接。</w:t>
      </w:r>
    </w:p>
    <w:p>
      <w:pPr>
        <w:pageBreakBefore w:val="0"/>
        <w:kinsoku/>
        <w:wordWrap/>
        <w:overflowPunct/>
        <w:topLinePunct w:val="0"/>
        <w:autoSpaceDE/>
        <w:autoSpaceDN/>
        <w:bidi w:val="0"/>
        <w:spacing w:line="528" w:lineRule="auto"/>
        <w:ind w:right="0" w:rightChars="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.2.7电缆敷设</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电缆敷设前进行外观检查，合格后进行绝缘检查，低压电力电缆用1KV摇表测量，其阻值不小于10兆欧。控制电缆可用500V摇表测量，其电阻不小于0.5兆欧。</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电缆桥架上的直线部分使用滚珠，在转弯处使用滚轮辅助减小磨擦。电缆水平敷设时，电缆的首尾两端、转弯及每隔5-10m处需固定。</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电缆敷设时不交叉，排列整齐，加以固定，并及时装设标志牌，电缆进入建筑物时，出口封闭，管口封闭，电缆头采用热缩电缆头制作工艺。电缆在沟内敷设应有适量的蛇型弯，电缆沿桥架敷设时，单层敷设，排列整齐，不得有交叉，弯曲处以最大截面电缆允许弯曲半径为准。垂直敷设时，同截面电缆应先敷设底层，后敷设高层。直埋电缆进建筑物，桥架敷设电缆的两端、拐弯处、交叉处都挂标志牌。</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电缆不应有损伤或扭曲等现象。</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线槽内电线或电缆的总截面积（包括外保护层</w:t>
      </w: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，不应超过线槽内截面的60％，控制信号电缆的总电缆的总截面不应超过线槽内截面的50％。</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桥架内的电缆应在首端、尾端、转弯及每隔50m处设有编号、型号及起止点等标记，电线、电缆在桥架内敷设时不应有接头。</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预制分支电缆在竖井内敷设，采用卷扬机牵引放线。</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电缆穿过竖井楼板空隙处用石棉枕等防火材料封堵严密。</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开关和插座的安装</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本工程的开关、插座全部采用暗装，标高以设计图纸为准。安装开关、插座面板，应在土建粉刷墙面后</w:t>
      </w: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油漆施工前</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进行，先清除盒内杂物并用平头镀锌螺丝固定，面板与墙面吻合无空隙。</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开关、插座方向统一，一般是开关向上关闭（切断电源）向下开启（接通电源）；单相二眼插座面对插座的右极接相线，左极接零线。单相三孔及三相孔的接地线均为上方，安装三相四线插座时，所有插座相位一致，确保用电器具方向统一。</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暗装的开关、插座采用专用盒，专用盒的四周无空隙，且盖板端正，并紧贴墙面。如果盒子较深（有保温层或装饰面板等），加装套盒，套盒的数量及大小由现场确定，由甲方或监理认可进行现场签证。</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并列安装的相同型号开关距地面高度一致，高度差不大于1mm，同一室内安装的开关高度差不大于5mm，面板的垂直允许偏差0.5mm。</w:t>
      </w:r>
    </w:p>
    <w:p>
      <w:pPr>
        <w:pageBreakBefore w:val="0"/>
        <w:kinsoku/>
        <w:wordWrap/>
        <w:overflowPunct/>
        <w:topLinePunct w:val="0"/>
        <w:autoSpaceDE/>
        <w:autoSpaceDN/>
        <w:bidi w:val="0"/>
        <w:spacing w:line="528" w:lineRule="auto"/>
        <w:ind w:right="0" w:rightChars="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.2.8灯具安装</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一般要求如下：</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灯具都安全可靠，并有产品检测报告、说明书、合格证。</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所有灯具均固定在建筑物上，混凝土结构上用开脚螺栓或膨胀螺栓及塑料膨胀管固定，不准使用木镢。</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凡超过3KG重的灯具，固定在预埋吊钩或开脚螺栓上。吊钩成型后要完全镀锌钢材不得小于圆钢φ12MM。</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灯具安装时，其金属外壳必须有可靠接地。</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成排器具安装的中心线允许偏差5mm。</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当灯具安装≤2.4米时，应加有有可靠的保护接地。</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灯具安装：从灯箱至灯头盒的导线采用穿金属软管，软管两端固定金属接头，灯头盒用自制镀锌盖板盖好，盖板的大小由灯头盒口径确定。</w:t>
      </w:r>
    </w:p>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w:t>
      </w:r>
      <w:r>
        <w:rPr>
          <w:rFonts w:hint="eastAsia" w:asciiTheme="majorEastAsia" w:hAnsiTheme="majorEastAsia" w:eastAsiaTheme="majorEastAsia" w:cstheme="majorEastAsia"/>
          <w:color w:val="000000" w:themeColor="text1"/>
          <w:kern w:val="1"/>
          <w:sz w:val="24"/>
          <w:szCs w:val="24"/>
          <w:highlight w:val="none"/>
          <w:lang w:val="en-US" w:eastAsia="zh-CN"/>
          <w14:textFill>
            <w14:solidFill>
              <w14:schemeClr w14:val="tx1"/>
            </w14:solidFill>
          </w14:textFill>
        </w:rPr>
        <w:t>9</w:t>
      </w:r>
      <w:r>
        <w:rPr>
          <w:rFonts w:hint="eastAsia" w:ascii="宋体" w:hAnsi="宋体" w:cs="宋体"/>
          <w:color w:val="000000" w:themeColor="text1"/>
          <w:kern w:val="1"/>
          <w:sz w:val="24"/>
          <w:szCs w:val="24"/>
          <w:highlight w:val="none"/>
          <w14:textFill>
            <w14:solidFill>
              <w14:schemeClr w14:val="tx1"/>
            </w14:solidFill>
          </w14:textFill>
        </w:rPr>
        <w:t>防雷接地及等电位敷设</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1.本工程采用联合接地系统，变压器中性点接地，防雷接地，电子信息系统接地及保护接地等均与总等电位端子板连接。</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2.接地电阻≤1欧，当实测不能满足要求时，利用外甩钢筋，加设人工接地极。</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3.总等电位联结须将保护干线、接地干线、各种公用设施的金属管道，建筑物金属结构，钢筋混凝土基础钢筋等可靠连接。</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4.照明灯具外罩应严格做好接地保护，保证使用和维护时的安全。</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5.电气竖井内，从底部至顶端，强弱电井各明敷一条 -40x4mm热镀锌扁钢供接地用，其上、下端均与接地装置连接；每层电气间内水平敷设一圈 -40x4mm热镀锌扁钢，水平与垂直接地扁钢之间要可靠焊接。</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2.电梯机房和消控室设局部等电位端子板，电气和电子设备的金属外壳、机柜、金属管、槽、屏蔽线缆外层、信息设备防静电接地、安全保护接地等以最短的距离与局部等电位端子板连接。</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7.总等电位联结线及各局部等电位接地干线均采用 -40x4热镀锌扁钢，总等电位联结采用等电位卡子，禁止在金属管道上焊接。</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8.防雷接地利用柱内二根大于∅16(小于∅16大于∅10时采用四根)钢筋作为引下线。引下线上端与接闪器、下与接地装置焊接，焊接长度大于钢筋直径的12倍(单面焊),引下线的平均间距不应大于25m。而且在室外地下0.8m处(出入口旁埋深-1.5m)焊出一根镀锌扁钢-40X4，此导体伸向室外，距外墙边的距离为 1.5m，供外引接地极用。另在所选混凝土柱上距地面 0.5m处用-40x4的热镀锌扁钢作预埋连接板，供测试接地电阻用，具体部位详平面图。引下线间距≤25m。</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lang w:eastAsia="zh-CN"/>
          <w14:textFill>
            <w14:solidFill>
              <w14:schemeClr w14:val="tx1"/>
            </w14:solidFill>
          </w14:textFill>
        </w:rPr>
        <w:t>1.1</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w:t>
      </w:r>
      <w:r>
        <w:rPr>
          <w:rFonts w:hint="eastAsia" w:asciiTheme="majorEastAsia" w:hAnsiTheme="majorEastAsia" w:eastAsiaTheme="majorEastAsia" w:cstheme="majorEastAsia"/>
          <w:color w:val="000000" w:themeColor="text1"/>
          <w:kern w:val="1"/>
          <w:sz w:val="24"/>
          <w:szCs w:val="24"/>
          <w:highlight w:val="none"/>
          <w:lang w:val="en-US" w:eastAsia="zh-CN"/>
          <w14:textFill>
            <w14:solidFill>
              <w14:schemeClr w14:val="tx1"/>
            </w14:solidFill>
          </w14:textFill>
        </w:rPr>
        <w:t>10</w:t>
      </w: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系统调试</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1、调试前的检查</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a.清除所有设备内的杂物,检查所有柜、箱内是否有遗留物。</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b.校线：按照施工图检查所有回路。</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c.对接线板、组件、设备上的螺丝逐一拧紧。</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d.检查二次回路的绝缘电阻。</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e.线路上是否有人施工，所有开关是否全在分闸位置，确认无误后方可送电。送电从电源侧送起，每送一个回路，检查三相电压是否正常，如双路电源，检查其相序是否正确。</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2、照明送电逐个回路进行，送一路调一路，保证控制正确无误，所有插座接地位置正确。</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3、动力设备调试前首先检查其控制部分是否灵活、完好，对接触器控制或减压启动等自动控制设备，先切除电机线路检查，调试其控制部分是否动作无误，然后检查其电机转动是否灵活，有无卡死现象，有些设备须先卸开负荷。确认电机是否正常运转，正常后，才能开机试运转，如发现异常情况，立即停止，检查消除故障后，继续调试。</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kern w:val="1"/>
          <w:sz w:val="24"/>
          <w:szCs w:val="24"/>
          <w:highlight w:val="none"/>
          <w14:textFill>
            <w14:solidFill>
              <w14:schemeClr w14:val="tx1"/>
            </w14:solidFill>
          </w14:textFill>
        </w:rPr>
        <w:t>4、在调试阶段，每班至少有两人以上有经验的电工值班巡视，如有异情及时处理，试运值班24小时，无异常情况，方可正式投入运行。</w:t>
      </w:r>
    </w:p>
    <w:p>
      <w:pPr>
        <w:pageBreakBefore w:val="0"/>
        <w:numPr>
          <w:ilvl w:val="0"/>
          <w:numId w:val="0"/>
        </w:numPr>
        <w:kinsoku/>
        <w:wordWrap/>
        <w:topLinePunct w:val="0"/>
        <w:bidi w:val="0"/>
        <w:spacing w:line="528" w:lineRule="auto"/>
        <w:ind w:leftChars="0" w:right="0" w:rightChars="0"/>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both"/>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支架制作安装</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pPr>
    </w:p>
    <w:p>
      <w:pPr>
        <w:pageBreakBefore w:val="0"/>
        <w:kinsoku/>
        <w:wordWrap/>
        <w:topLinePunct w:val="0"/>
        <w:bidi w:val="0"/>
        <w:spacing w:line="528" w:lineRule="auto"/>
        <w:ind w:right="0" w:rightChars="0" w:firstLine="480" w:firstLineChars="20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highlight w:val="none"/>
          <w:u w:val="none"/>
          <w:lang w:val="en-US" w:eastAsia="zh-CN"/>
          <w14:textFill>
            <w14:solidFill>
              <w14:schemeClr w14:val="tx1"/>
            </w14:solidFill>
          </w14:textFill>
        </w:rPr>
        <w:t>根据安博技术标准：</w:t>
      </w: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两层库底层：指仓库楼板下所有设备及设施管线的最低点与仓库内地坪之高度差不小于9米；两层库二层：指仓库屋面下所有设备及设施管线的最低点与仓库内地坪之高度差不小于10米。</w:t>
      </w: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pPr>
    </w:p>
    <w:p>
      <w:pPr>
        <w:pageBreakBefore w:val="0"/>
        <w:kinsoku/>
        <w:wordWrap/>
        <w:topLinePunct w:val="0"/>
        <w:bidi w:val="0"/>
        <w:spacing w:line="528" w:lineRule="auto"/>
        <w:ind w:right="0" w:rightChars="0"/>
        <w:jc w:val="both"/>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一层管线综合(消火栓、喷淋、排烟、桥架、灯具）</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drawing>
          <wp:inline distT="0" distB="0" distL="114300" distR="114300">
            <wp:extent cx="4358005" cy="3486150"/>
            <wp:effectExtent l="0" t="0" r="4445" b="0"/>
            <wp:docPr id="10241"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图片 2" descr="4"/>
                    <pic:cNvPicPr>
                      <a:picLocks noChangeAspect="1"/>
                    </pic:cNvPicPr>
                  </pic:nvPicPr>
                  <pic:blipFill>
                    <a:blip r:embed="rId6"/>
                    <a:stretch>
                      <a:fillRect/>
                    </a:stretch>
                  </pic:blipFill>
                  <pic:spPr>
                    <a:xfrm>
                      <a:off x="0" y="0"/>
                      <a:ext cx="4358005" cy="3486150"/>
                    </a:xfrm>
                    <a:prstGeom prst="rect">
                      <a:avLst/>
                    </a:prstGeom>
                    <a:noFill/>
                    <a:ln w="9525">
                      <a:noFill/>
                    </a:ln>
                  </pic:spPr>
                </pic:pic>
              </a:graphicData>
            </a:graphic>
          </wp:inline>
        </w:drawing>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一层管线标高大样图</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drawing>
          <wp:inline distT="0" distB="0" distL="114300" distR="114300">
            <wp:extent cx="3393440" cy="2715260"/>
            <wp:effectExtent l="0" t="0" r="8890" b="16510"/>
            <wp:docPr id="1126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 name="图片 1" descr="1"/>
                    <pic:cNvPicPr>
                      <a:picLocks noChangeAspect="1"/>
                    </pic:cNvPicPr>
                  </pic:nvPicPr>
                  <pic:blipFill>
                    <a:blip r:embed="rId7"/>
                    <a:stretch>
                      <a:fillRect/>
                    </a:stretch>
                  </pic:blipFill>
                  <pic:spPr>
                    <a:xfrm rot="-5400000">
                      <a:off x="0" y="0"/>
                      <a:ext cx="3393440" cy="2715260"/>
                    </a:xfrm>
                    <a:prstGeom prst="rect">
                      <a:avLst/>
                    </a:prstGeom>
                    <a:noFill/>
                    <a:ln w="9525">
                      <a:noFill/>
                    </a:ln>
                  </pic:spPr>
                </pic:pic>
              </a:graphicData>
            </a:graphic>
          </wp:inline>
        </w:drawing>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一层桥架安装大样图</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drawing>
          <wp:inline distT="0" distB="0" distL="114300" distR="114300">
            <wp:extent cx="3033395" cy="2428240"/>
            <wp:effectExtent l="0" t="0" r="10160" b="14605"/>
            <wp:docPr id="12289"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图片 2" descr="3"/>
                    <pic:cNvPicPr>
                      <a:picLocks noChangeAspect="1"/>
                    </pic:cNvPicPr>
                  </pic:nvPicPr>
                  <pic:blipFill>
                    <a:blip r:embed="rId8"/>
                    <a:stretch>
                      <a:fillRect/>
                    </a:stretch>
                  </pic:blipFill>
                  <pic:spPr>
                    <a:xfrm rot="-5400000">
                      <a:off x="0" y="0"/>
                      <a:ext cx="3033395" cy="2428240"/>
                    </a:xfrm>
                    <a:prstGeom prst="rect">
                      <a:avLst/>
                    </a:prstGeom>
                    <a:noFill/>
                    <a:ln w="9525">
                      <a:noFill/>
                    </a:ln>
                  </pic:spPr>
                </pic:pic>
              </a:graphicData>
            </a:graphic>
          </wp:inline>
        </w:drawing>
      </w:r>
      <w:r>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t xml:space="preserve">    </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桥架上翻大样图</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drawing>
          <wp:inline distT="0" distB="0" distL="114300" distR="114300">
            <wp:extent cx="4208780" cy="3366770"/>
            <wp:effectExtent l="0" t="0" r="1270" b="5080"/>
            <wp:docPr id="13313"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 name="图片 1" descr="5"/>
                    <pic:cNvPicPr>
                      <a:picLocks noChangeAspect="1"/>
                    </pic:cNvPicPr>
                  </pic:nvPicPr>
                  <pic:blipFill>
                    <a:blip r:embed="rId9"/>
                    <a:stretch>
                      <a:fillRect/>
                    </a:stretch>
                  </pic:blipFill>
                  <pic:spPr>
                    <a:xfrm>
                      <a:off x="0" y="0"/>
                      <a:ext cx="4208780" cy="3366770"/>
                    </a:xfrm>
                    <a:prstGeom prst="rect">
                      <a:avLst/>
                    </a:prstGeom>
                    <a:noFill/>
                    <a:ln w="9525">
                      <a:noFill/>
                    </a:ln>
                  </pic:spPr>
                </pic:pic>
              </a:graphicData>
            </a:graphic>
          </wp:inline>
        </w:drawing>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一层灯具安装大样图</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drawing>
          <wp:inline distT="0" distB="0" distL="114300" distR="114300">
            <wp:extent cx="3471545" cy="2778125"/>
            <wp:effectExtent l="0" t="0" r="14605" b="3175"/>
            <wp:docPr id="14337"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图片 2" descr="6"/>
                    <pic:cNvPicPr>
                      <a:picLocks noChangeAspect="1"/>
                    </pic:cNvPicPr>
                  </pic:nvPicPr>
                  <pic:blipFill>
                    <a:blip r:embed="rId10"/>
                    <a:stretch>
                      <a:fillRect/>
                    </a:stretch>
                  </pic:blipFill>
                  <pic:spPr>
                    <a:xfrm>
                      <a:off x="0" y="0"/>
                      <a:ext cx="3471545" cy="2778125"/>
                    </a:xfrm>
                    <a:prstGeom prst="rect">
                      <a:avLst/>
                    </a:prstGeom>
                    <a:noFill/>
                    <a:ln w="9525">
                      <a:noFill/>
                    </a:ln>
                  </pic:spPr>
                </pic:pic>
              </a:graphicData>
            </a:graphic>
          </wp:inline>
        </w:drawing>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二层管线横断图</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drawing>
          <wp:inline distT="0" distB="0" distL="114300" distR="114300">
            <wp:extent cx="5188585" cy="4150360"/>
            <wp:effectExtent l="0" t="0" r="12065" b="2540"/>
            <wp:docPr id="15361" name="图片 4"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图片 4" descr="7-1"/>
                    <pic:cNvPicPr>
                      <a:picLocks noChangeAspect="1"/>
                    </pic:cNvPicPr>
                  </pic:nvPicPr>
                  <pic:blipFill>
                    <a:blip r:embed="rId11"/>
                    <a:stretch>
                      <a:fillRect/>
                    </a:stretch>
                  </pic:blipFill>
                  <pic:spPr>
                    <a:xfrm>
                      <a:off x="0" y="0"/>
                      <a:ext cx="5188585" cy="4150360"/>
                    </a:xfrm>
                    <a:prstGeom prst="rect">
                      <a:avLst/>
                    </a:prstGeom>
                    <a:noFill/>
                    <a:ln w="9525">
                      <a:noFill/>
                    </a:ln>
                  </pic:spPr>
                </pic:pic>
              </a:graphicData>
            </a:graphic>
          </wp:inline>
        </w:drawing>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二层桥架灯具安装标高</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drawing>
          <wp:inline distT="0" distB="0" distL="114300" distR="114300">
            <wp:extent cx="3359150" cy="2687320"/>
            <wp:effectExtent l="0" t="0" r="12700" b="17780"/>
            <wp:docPr id="16385" name="图片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图片 1" descr="8"/>
                    <pic:cNvPicPr>
                      <a:picLocks noChangeAspect="1"/>
                    </pic:cNvPicPr>
                  </pic:nvPicPr>
                  <pic:blipFill>
                    <a:blip r:embed="rId12"/>
                    <a:stretch>
                      <a:fillRect/>
                    </a:stretch>
                  </pic:blipFill>
                  <pic:spPr>
                    <a:xfrm>
                      <a:off x="0" y="0"/>
                      <a:ext cx="3359150" cy="2687320"/>
                    </a:xfrm>
                    <a:prstGeom prst="rect">
                      <a:avLst/>
                    </a:prstGeom>
                    <a:noFill/>
                    <a:ln w="9525">
                      <a:noFill/>
                    </a:ln>
                  </pic:spPr>
                </pic:pic>
              </a:graphicData>
            </a:graphic>
          </wp:inline>
        </w:drawing>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val="0"/>
          <w:color w:val="000000" w:themeColor="text1"/>
          <w:sz w:val="24"/>
          <w:szCs w:val="24"/>
          <w:highlight w:val="none"/>
          <w:lang w:val="en-US" w:eastAsia="zh-CN"/>
          <w14:textFill>
            <w14:solidFill>
              <w14:schemeClr w14:val="tx1"/>
            </w14:solidFill>
          </w14:textFill>
        </w:rPr>
        <w:t>二层桥架和灯盘安装大样图</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drawing>
          <wp:inline distT="0" distB="0" distL="114300" distR="114300">
            <wp:extent cx="4067810" cy="3254375"/>
            <wp:effectExtent l="0" t="0" r="8890" b="3175"/>
            <wp:docPr id="17409" name="图片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 name="图片 1" descr="9"/>
                    <pic:cNvPicPr>
                      <a:picLocks noChangeAspect="1"/>
                    </pic:cNvPicPr>
                  </pic:nvPicPr>
                  <pic:blipFill>
                    <a:blip r:embed="rId13"/>
                    <a:stretch>
                      <a:fillRect/>
                    </a:stretch>
                  </pic:blipFill>
                  <pic:spPr>
                    <a:xfrm>
                      <a:off x="0" y="0"/>
                      <a:ext cx="4067810" cy="3254375"/>
                    </a:xfrm>
                    <a:prstGeom prst="rect">
                      <a:avLst/>
                    </a:prstGeom>
                    <a:noFill/>
                    <a:ln w="9525">
                      <a:noFill/>
                    </a:ln>
                  </pic:spPr>
                </pic:pic>
              </a:graphicData>
            </a:graphic>
          </wp:inline>
        </w:drawing>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t>砼、墙预埋KBG管和底盒</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47625</wp:posOffset>
            </wp:positionH>
            <wp:positionV relativeFrom="paragraph">
              <wp:posOffset>11430</wp:posOffset>
            </wp:positionV>
            <wp:extent cx="2651760" cy="1968500"/>
            <wp:effectExtent l="0" t="0" r="15240" b="12700"/>
            <wp:wrapNone/>
            <wp:docPr id="18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图片 1"/>
                    <pic:cNvPicPr>
                      <a:picLocks noChangeAspect="1"/>
                    </pic:cNvPicPr>
                  </pic:nvPicPr>
                  <pic:blipFill>
                    <a:blip r:embed="rId14"/>
                    <a:stretch>
                      <a:fillRect/>
                    </a:stretch>
                  </pic:blipFill>
                  <pic:spPr>
                    <a:xfrm>
                      <a:off x="0" y="0"/>
                      <a:ext cx="2651760" cy="1968500"/>
                    </a:xfrm>
                    <a:prstGeom prst="rect">
                      <a:avLst/>
                    </a:prstGeom>
                    <a:noFill/>
                    <a:ln w="9525">
                      <a:noFill/>
                    </a:ln>
                  </pic:spPr>
                </pic:pic>
              </a:graphicData>
            </a:graphic>
          </wp:anchor>
        </w:drawing>
      </w:r>
      <w:r>
        <w:rPr>
          <w:color w:val="000000" w:themeColor="text1"/>
          <w:sz w:val="24"/>
          <w:szCs w:val="24"/>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2898140</wp:posOffset>
            </wp:positionH>
            <wp:positionV relativeFrom="paragraph">
              <wp:posOffset>3810</wp:posOffset>
            </wp:positionV>
            <wp:extent cx="2675890" cy="1985645"/>
            <wp:effectExtent l="0" t="0" r="10160" b="14605"/>
            <wp:wrapNone/>
            <wp:docPr id="184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图片 2"/>
                    <pic:cNvPicPr>
                      <a:picLocks noChangeAspect="1"/>
                    </pic:cNvPicPr>
                  </pic:nvPicPr>
                  <pic:blipFill>
                    <a:blip r:embed="rId15"/>
                    <a:stretch>
                      <a:fillRect/>
                    </a:stretch>
                  </pic:blipFill>
                  <pic:spPr>
                    <a:xfrm>
                      <a:off x="0" y="0"/>
                      <a:ext cx="2675890" cy="1985645"/>
                    </a:xfrm>
                    <a:prstGeom prst="rect">
                      <a:avLst/>
                    </a:prstGeom>
                    <a:noFill/>
                    <a:ln w="9525">
                      <a:noFill/>
                    </a:ln>
                  </pic:spPr>
                </pic:pic>
              </a:graphicData>
            </a:graphic>
          </wp:anchor>
        </w:drawing>
      </w: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3437890</wp:posOffset>
            </wp:positionH>
            <wp:positionV relativeFrom="paragraph">
              <wp:posOffset>281940</wp:posOffset>
            </wp:positionV>
            <wp:extent cx="2665730" cy="2373630"/>
            <wp:effectExtent l="0" t="0" r="1270" b="7620"/>
            <wp:wrapNone/>
            <wp:docPr id="22532" name="图片 3"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图片 3" descr="timg"/>
                    <pic:cNvPicPr>
                      <a:picLocks noChangeAspect="1"/>
                    </pic:cNvPicPr>
                  </pic:nvPicPr>
                  <pic:blipFill>
                    <a:blip r:embed="rId16"/>
                    <a:stretch>
                      <a:fillRect/>
                    </a:stretch>
                  </pic:blipFill>
                  <pic:spPr>
                    <a:xfrm>
                      <a:off x="0" y="0"/>
                      <a:ext cx="2665730" cy="2373630"/>
                    </a:xfrm>
                    <a:prstGeom prst="rect">
                      <a:avLst/>
                    </a:prstGeom>
                    <a:noFill/>
                    <a:ln w="9525">
                      <a:noFill/>
                    </a:ln>
                  </pic:spPr>
                </pic:pic>
              </a:graphicData>
            </a:graphic>
          </wp:anchor>
        </w:drawing>
      </w:r>
      <w: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t>工艺质量管控二：钢套管预埋工艺</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-48260</wp:posOffset>
            </wp:positionH>
            <wp:positionV relativeFrom="paragraph">
              <wp:posOffset>15875</wp:posOffset>
            </wp:positionV>
            <wp:extent cx="3286760" cy="2122805"/>
            <wp:effectExtent l="0" t="0" r="8890" b="10795"/>
            <wp:wrapNone/>
            <wp:docPr id="22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9" name="图片 1"/>
                    <pic:cNvPicPr>
                      <a:picLocks noChangeAspect="1"/>
                    </pic:cNvPicPr>
                  </pic:nvPicPr>
                  <pic:blipFill>
                    <a:blip r:embed="rId17"/>
                    <a:stretch>
                      <a:fillRect/>
                    </a:stretch>
                  </pic:blipFill>
                  <pic:spPr>
                    <a:xfrm>
                      <a:off x="0" y="0"/>
                      <a:ext cx="3286760" cy="2122805"/>
                    </a:xfrm>
                    <a:prstGeom prst="rect">
                      <a:avLst/>
                    </a:prstGeom>
                    <a:noFill/>
                    <a:ln w="9525">
                      <a:noFill/>
                    </a:ln>
                  </pic:spPr>
                </pic:pic>
              </a:graphicData>
            </a:graphic>
          </wp:anchor>
        </w:drawing>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drawing>
          <wp:anchor distT="0" distB="0" distL="114300" distR="114300" simplePos="0" relativeHeight="251668480" behindDoc="0" locked="0" layoutInCell="1" allowOverlap="1">
            <wp:simplePos x="0" y="0"/>
            <wp:positionH relativeFrom="column">
              <wp:posOffset>2765425</wp:posOffset>
            </wp:positionH>
            <wp:positionV relativeFrom="paragraph">
              <wp:posOffset>320675</wp:posOffset>
            </wp:positionV>
            <wp:extent cx="2724785" cy="3670935"/>
            <wp:effectExtent l="0" t="0" r="18415" b="5715"/>
            <wp:wrapNone/>
            <wp:docPr id="245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图片 2"/>
                    <pic:cNvPicPr>
                      <a:picLocks noChangeAspect="1"/>
                    </pic:cNvPicPr>
                  </pic:nvPicPr>
                  <pic:blipFill>
                    <a:blip r:embed="rId18"/>
                    <a:stretch>
                      <a:fillRect/>
                    </a:stretch>
                  </pic:blipFill>
                  <pic:spPr>
                    <a:xfrm>
                      <a:off x="0" y="0"/>
                      <a:ext cx="2724785" cy="3670935"/>
                    </a:xfrm>
                    <a:prstGeom prst="rect">
                      <a:avLst/>
                    </a:prstGeom>
                    <a:noFill/>
                    <a:ln w="9525">
                      <a:noFill/>
                    </a:ln>
                  </pic:spPr>
                </pic:pic>
              </a:graphicData>
            </a:graphic>
          </wp:anchor>
        </w:drawing>
      </w:r>
      <w:r>
        <w:rPr>
          <w:color w:val="000000" w:themeColor="text1"/>
          <w:sz w:val="24"/>
          <w:szCs w:val="24"/>
          <w:highlight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-19050</wp:posOffset>
            </wp:positionH>
            <wp:positionV relativeFrom="paragraph">
              <wp:posOffset>319405</wp:posOffset>
            </wp:positionV>
            <wp:extent cx="2167255" cy="1607185"/>
            <wp:effectExtent l="0" t="0" r="4445" b="12065"/>
            <wp:wrapNone/>
            <wp:docPr id="245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图片 1"/>
                    <pic:cNvPicPr>
                      <a:picLocks noChangeAspect="1"/>
                    </pic:cNvPicPr>
                  </pic:nvPicPr>
                  <pic:blipFill>
                    <a:blip r:embed="rId19"/>
                    <a:stretch>
                      <a:fillRect/>
                    </a:stretch>
                  </pic:blipFill>
                  <pic:spPr>
                    <a:xfrm>
                      <a:off x="0" y="0"/>
                      <a:ext cx="2167255" cy="1607185"/>
                    </a:xfrm>
                    <a:prstGeom prst="rect">
                      <a:avLst/>
                    </a:prstGeom>
                    <a:noFill/>
                    <a:ln w="9525">
                      <a:noFill/>
                    </a:ln>
                  </pic:spPr>
                </pic:pic>
              </a:graphicData>
            </a:graphic>
          </wp:anchor>
        </w:drawing>
      </w:r>
      <w: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t>防雷接地和等电位质量要求</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drawing>
          <wp:anchor distT="0" distB="0" distL="114300" distR="114300" simplePos="0" relativeHeight="251669504" behindDoc="0" locked="0" layoutInCell="1" allowOverlap="1">
            <wp:simplePos x="0" y="0"/>
            <wp:positionH relativeFrom="column">
              <wp:posOffset>-66675</wp:posOffset>
            </wp:positionH>
            <wp:positionV relativeFrom="paragraph">
              <wp:posOffset>133985</wp:posOffset>
            </wp:positionV>
            <wp:extent cx="2235200" cy="2124075"/>
            <wp:effectExtent l="0" t="0" r="12700" b="9525"/>
            <wp:wrapNone/>
            <wp:docPr id="24580" name="图片 3"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图片 3" descr="timg"/>
                    <pic:cNvPicPr>
                      <a:picLocks noChangeAspect="1"/>
                    </pic:cNvPicPr>
                  </pic:nvPicPr>
                  <pic:blipFill>
                    <a:blip r:embed="rId20"/>
                    <a:stretch>
                      <a:fillRect/>
                    </a:stretch>
                  </pic:blipFill>
                  <pic:spPr>
                    <a:xfrm>
                      <a:off x="0" y="0"/>
                      <a:ext cx="2235200" cy="2124075"/>
                    </a:xfrm>
                    <a:prstGeom prst="rect">
                      <a:avLst/>
                    </a:prstGeom>
                    <a:noFill/>
                    <a:ln w="9525">
                      <a:noFill/>
                    </a:ln>
                  </pic:spPr>
                </pic:pic>
              </a:graphicData>
            </a:graphic>
          </wp:anchor>
        </w:drawing>
      </w: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both"/>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color w:val="000000" w:themeColor="text1"/>
          <w:sz w:val="24"/>
          <w:szCs w:val="24"/>
          <w:highlight w:val="none"/>
          <w:u w:val="doubl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highlight w:val="none"/>
          <w:u w:val="double"/>
          <w:lang w:val="en-US" w:eastAsia="zh-CN"/>
          <w14:textFill>
            <w14:solidFill>
              <w14:schemeClr w14:val="tx1"/>
            </w14:solidFill>
          </w14:textFill>
        </w:rPr>
        <w:t>给排水安装施工安装方案</w:t>
      </w: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p>
    <w:p>
      <w:pPr>
        <w:pageBreakBefore w:val="0"/>
        <w:kinsoku/>
        <w:wordWrap/>
        <w:topLinePunct w:val="0"/>
        <w:bidi w:val="0"/>
        <w:spacing w:line="528" w:lineRule="auto"/>
        <w:ind w:right="0" w:rightChars="0"/>
        <w:jc w:val="cente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b/>
          <w:bCs w:val="0"/>
          <w:color w:val="000000" w:themeColor="text1"/>
          <w:sz w:val="24"/>
          <w:szCs w:val="24"/>
          <w:highlight w:val="none"/>
          <w:lang w:eastAsia="zh-CN"/>
          <w14:textFill>
            <w14:solidFill>
              <w14:schemeClr w14:val="tx1"/>
            </w14:solidFill>
          </w14:textFill>
        </w:rPr>
        <w:t>生活给水系统、污废水系统、雨水系统</w:t>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firstLine="480" w:firstLineChars="200"/>
        <w:jc w:val="left"/>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t>本建筑设有生活给水系统、污废水系统、雨水系统。建设单位提供一个市政给水接口,管径DN150，市政水压约0.35MPa。</w:t>
      </w:r>
    </w:p>
    <w:p>
      <w:pPr>
        <w:pageBreakBefore w:val="0"/>
        <w:kinsoku/>
        <w:wordWrap/>
        <w:topLinePunct w:val="0"/>
        <w:bidi w:val="0"/>
        <w:spacing w:line="528" w:lineRule="auto"/>
        <w:ind w:right="0" w:rightChars="0" w:firstLine="480"/>
        <w:jc w:val="left"/>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t>本工程为一路供水，给水引入管至红线内总水表与本工程生活给水管相连，且总表后设倒流防止器，主要供仓库内生活卫生间用水，本系统直接利用市政水压直接供给，不设二次加压给水设备，根据建筑内使用功能条件、节水、节能等原则本工程一层及二层仓库、门卫等卫生间分别设置水表，水表设置于卫生间内。</w:t>
      </w:r>
    </w:p>
    <w:p>
      <w:pPr>
        <w:pageBreakBefore w:val="0"/>
        <w:kinsoku/>
        <w:wordWrap/>
        <w:topLinePunct w:val="0"/>
        <w:bidi w:val="0"/>
        <w:spacing w:line="528" w:lineRule="auto"/>
        <w:ind w:right="0" w:rightChars="0" w:firstLine="480"/>
        <w:jc w:val="left"/>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pPr>
      <w:r>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t>市政给排水</w:t>
      </w:r>
    </w:p>
    <w:p>
      <w:pPr>
        <w:pageBreakBefore w:val="0"/>
        <w:kinsoku/>
        <w:wordWrap/>
        <w:topLinePunct w:val="0"/>
        <w:bidi w:val="0"/>
        <w:spacing w:line="528" w:lineRule="auto"/>
        <w:ind w:right="0" w:rightChars="0" w:firstLine="480"/>
        <w:jc w:val="left"/>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drawing>
          <wp:inline distT="0" distB="0" distL="114300" distR="114300">
            <wp:extent cx="5266690" cy="3247390"/>
            <wp:effectExtent l="0" t="0" r="10160" b="10160"/>
            <wp:docPr id="5" name="图片 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无标题"/>
                    <pic:cNvPicPr>
                      <a:picLocks noChangeAspect="1"/>
                    </pic:cNvPicPr>
                  </pic:nvPicPr>
                  <pic:blipFill>
                    <a:blip r:embed="rId21"/>
                    <a:stretch>
                      <a:fillRect/>
                    </a:stretch>
                  </pic:blipFill>
                  <pic:spPr>
                    <a:xfrm>
                      <a:off x="0" y="0"/>
                      <a:ext cx="5266690" cy="3247390"/>
                    </a:xfrm>
                    <a:prstGeom prst="rect">
                      <a:avLst/>
                    </a:prstGeom>
                  </pic:spPr>
                </pic:pic>
              </a:graphicData>
            </a:graphic>
          </wp:inline>
        </w:drawing>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t>中间通道给排水断面图</w:t>
      </w:r>
    </w:p>
    <w:p>
      <w:pPr>
        <w:pageBreakBefore w:val="0"/>
        <w:kinsoku/>
        <w:wordWrap/>
        <w:topLinePunct w:val="0"/>
        <w:bidi w:val="0"/>
        <w:spacing w:line="528" w:lineRule="auto"/>
        <w:ind w:right="0" w:rightChars="0" w:firstLine="480"/>
        <w:jc w:val="left"/>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drawing>
          <wp:inline distT="0" distB="0" distL="114300" distR="114300">
            <wp:extent cx="5271135" cy="4216400"/>
            <wp:effectExtent l="0" t="0" r="5715" b="12700"/>
            <wp:docPr id="8" name="图片 8"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1"/>
                    <pic:cNvPicPr>
                      <a:picLocks noChangeAspect="1"/>
                    </pic:cNvPicPr>
                  </pic:nvPicPr>
                  <pic:blipFill>
                    <a:blip r:embed="rId22"/>
                    <a:stretch>
                      <a:fillRect/>
                    </a:stretch>
                  </pic:blipFill>
                  <pic:spPr>
                    <a:xfrm>
                      <a:off x="0" y="0"/>
                      <a:ext cx="5271135" cy="4216400"/>
                    </a:xfrm>
                    <a:prstGeom prst="rect">
                      <a:avLst/>
                    </a:prstGeom>
                  </pic:spPr>
                </pic:pic>
              </a:graphicData>
            </a:graphic>
          </wp:inline>
        </w:drawing>
      </w: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t>室外管网安装大样图</w:t>
      </w:r>
    </w:p>
    <w:p>
      <w:pPr>
        <w:pageBreakBefore w:val="0"/>
        <w:kinsoku/>
        <w:wordWrap/>
        <w:topLinePunct w:val="0"/>
        <w:bidi w:val="0"/>
        <w:spacing w:line="528" w:lineRule="auto"/>
        <w:ind w:right="0" w:rightChars="0" w:firstLine="480"/>
        <w:jc w:val="left"/>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szCs w:val="24"/>
          <w:highlight w:val="none"/>
          <w:lang w:eastAsia="zh-CN"/>
          <w14:textFill>
            <w14:solidFill>
              <w14:schemeClr w14:val="tx1"/>
            </w14:solidFill>
          </w14:textFill>
        </w:rPr>
        <w:drawing>
          <wp:inline distT="0" distB="0" distL="114300" distR="114300">
            <wp:extent cx="5271135" cy="4216400"/>
            <wp:effectExtent l="0" t="0" r="5715" b="12700"/>
            <wp:docPr id="9" name="图片 9"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2"/>
                    <pic:cNvPicPr>
                      <a:picLocks noChangeAspect="1"/>
                    </pic:cNvPicPr>
                  </pic:nvPicPr>
                  <pic:blipFill>
                    <a:blip r:embed="rId23"/>
                    <a:stretch>
                      <a:fillRect/>
                    </a:stretch>
                  </pic:blipFill>
                  <pic:spPr>
                    <a:xfrm>
                      <a:off x="0" y="0"/>
                      <a:ext cx="5271135" cy="4216400"/>
                    </a:xfrm>
                    <a:prstGeom prst="rect">
                      <a:avLst/>
                    </a:prstGeom>
                  </pic:spPr>
                </pic:pic>
              </a:graphicData>
            </a:graphic>
          </wp:inline>
        </w:drawing>
      </w:r>
    </w:p>
    <w:p>
      <w:pPr>
        <w:pageBreakBefore w:val="0"/>
        <w:kinsoku/>
        <w:wordWrap/>
        <w:topLinePunct w:val="0"/>
        <w:bidi w:val="0"/>
        <w:spacing w:line="528" w:lineRule="auto"/>
        <w:ind w:right="0" w:rightChars="0" w:firstLine="480"/>
        <w:jc w:val="left"/>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firstLine="480"/>
        <w:jc w:val="left"/>
        <w:rPr>
          <w:rFonts w:hint="eastAsia" w:asciiTheme="majorEastAsia" w:hAnsiTheme="majorEastAsia" w:eastAsiaTheme="majorEastAsia" w:cstheme="majorEastAsia"/>
          <w:color w:val="000000" w:themeColor="text1"/>
          <w:sz w:val="24"/>
          <w:szCs w:val="24"/>
          <w:highlight w:val="none"/>
          <w14:textFill>
            <w14:solidFill>
              <w14:schemeClr w14:val="tx1"/>
            </w14:solidFill>
          </w14:textFill>
        </w:rPr>
      </w:pPr>
    </w:p>
    <w:p>
      <w:pPr>
        <w:pageBreakBefore w:val="0"/>
        <w:kinsoku/>
        <w:wordWrap/>
        <w:topLinePunct w:val="0"/>
        <w:bidi w:val="0"/>
        <w:spacing w:line="528" w:lineRule="auto"/>
        <w:ind w:right="0" w:rightChars="0" w:firstLine="480"/>
        <w:jc w:val="left"/>
        <w:rPr>
          <w:rFonts w:hint="eastAsia" w:asciiTheme="majorEastAsia" w:hAnsiTheme="majorEastAsia" w:eastAsiaTheme="majorEastAsia" w:cstheme="majorEastAsia"/>
          <w:b w:val="0"/>
          <w:bCs/>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val="0"/>
          <w:color w:val="000000" w:themeColor="text1"/>
          <w:sz w:val="24"/>
          <w:szCs w:val="24"/>
          <w:highlight w:val="none"/>
          <w:lang w:val="en-US" w:eastAsia="zh-CN"/>
          <w14:textFill>
            <w14:solidFill>
              <w14:schemeClr w14:val="tx1"/>
            </w14:solidFill>
          </w14:textFill>
        </w:rPr>
      </w:pPr>
    </w:p>
    <w:p>
      <w:pPr>
        <w:pageBreakBefore w:val="0"/>
        <w:kinsoku/>
        <w:wordWrap/>
        <w:topLinePunct w:val="0"/>
        <w:bidi w:val="0"/>
        <w:spacing w:line="528" w:lineRule="auto"/>
        <w:ind w:right="0" w:rightChars="0"/>
        <w:jc w:val="left"/>
        <w:rPr>
          <w:rFonts w:hint="eastAsia" w:asciiTheme="majorEastAsia" w:hAnsiTheme="majorEastAsia" w:eastAsiaTheme="majorEastAsia" w:cstheme="majorEastAsia"/>
          <w:b/>
          <w:bCs w:val="0"/>
          <w:color w:val="000000" w:themeColor="text1"/>
          <w:sz w:val="24"/>
          <w:szCs w:val="24"/>
          <w:highlight w:val="none"/>
          <w:lang w:val="en-US" w:eastAsia="zh-CN"/>
          <w14:textFill>
            <w14:solidFill>
              <w14:schemeClr w14:val="tx1"/>
            </w14:solidFill>
          </w14:textFill>
        </w:rPr>
      </w:pPr>
    </w:p>
    <w:p>
      <w:pPr>
        <w:pageBreakBefore w:val="0"/>
        <w:kinsoku/>
        <w:wordWrap/>
        <w:overflowPunct/>
        <w:topLinePunct w:val="0"/>
        <w:autoSpaceDE/>
        <w:autoSpaceDN/>
        <w:bidi w:val="0"/>
        <w:spacing w:line="528" w:lineRule="auto"/>
        <w:ind w:right="0" w:rightChars="0"/>
        <w:textAlignment w:val="auto"/>
        <w:rPr>
          <w:rFonts w:hint="eastAsia" w:ascii="宋体" w:hAnsi="宋体" w:eastAsia="宋体" w:cs="Dotum"/>
          <w:color w:val="000000" w:themeColor="text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textAlignment w:val="auto"/>
        <w:rPr>
          <w:rFonts w:hint="eastAsia" w:ascii="宋体" w:hAnsi="宋体" w:eastAsia="宋体" w:cs="Dotum"/>
          <w:b/>
          <w:bCs/>
          <w:color w:val="000000" w:themeColor="text1"/>
          <w:sz w:val="24"/>
          <w:szCs w:val="24"/>
          <w:highlight w:val="none"/>
          <w14:textFill>
            <w14:solidFill>
              <w14:schemeClr w14:val="tx1"/>
            </w14:solidFill>
          </w14:textFill>
        </w:rPr>
      </w:pPr>
      <w:r>
        <w:rPr>
          <w:rFonts w:hint="eastAsia" w:ascii="宋体" w:hAnsi="宋体" w:eastAsia="宋体" w:cs="Dotum"/>
          <w:b/>
          <w:bCs/>
          <w:color w:val="000000" w:themeColor="text1"/>
          <w:sz w:val="24"/>
          <w:szCs w:val="24"/>
          <w:highlight w:val="none"/>
          <w14:textFill>
            <w14:solidFill>
              <w14:schemeClr w14:val="tx1"/>
            </w14:solidFill>
          </w14:textFill>
        </w:rPr>
        <w:t>给排水工程施工</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施工顺序：预留预埋</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支吊架制作安装</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主管安装</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支管安装</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卫生器具安装</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卫生洁具及部件安装</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管道系统试压冲洗</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涮漆</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保温</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调试</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交工验收</w:t>
      </w:r>
    </w:p>
    <w:p>
      <w:pPr>
        <w:pStyle w:val="3"/>
        <w:keepNext w:val="0"/>
        <w:pageBreakBefore w:val="0"/>
        <w:kinsoku/>
        <w:wordWrap/>
        <w:overflowPunct/>
        <w:topLinePunct w:val="0"/>
        <w:autoSpaceDE/>
        <w:autoSpaceDN/>
        <w:bidi w:val="0"/>
        <w:spacing w:line="528" w:lineRule="auto"/>
        <w:ind w:right="0" w:rightChars="0"/>
        <w:textAlignment w:val="auto"/>
        <w:rPr>
          <w:rFonts w:hint="eastAsia" w:ascii="宋体" w:hAnsi="宋体" w:eastAsia="宋体"/>
          <w:color w:val="000000" w:themeColor="text1"/>
          <w:kern w:val="1"/>
          <w:sz w:val="24"/>
          <w:szCs w:val="24"/>
          <w:highlight w:val="none"/>
          <w14:textFill>
            <w14:solidFill>
              <w14:schemeClr w14:val="tx1"/>
            </w14:solidFill>
          </w14:textFill>
        </w:rPr>
      </w:pPr>
      <w:bookmarkStart w:id="1" w:name="_Toc446494747"/>
      <w:r>
        <w:rPr>
          <w:rFonts w:hint="eastAsia" w:ascii="宋体" w:hAnsi="宋体" w:eastAsia="宋体"/>
          <w:color w:val="000000" w:themeColor="text1"/>
          <w:kern w:val="1"/>
          <w:sz w:val="24"/>
          <w:szCs w:val="24"/>
          <w:highlight w:val="none"/>
          <w:lang w:eastAsia="zh-CN"/>
          <w14:textFill>
            <w14:solidFill>
              <w14:schemeClr w14:val="tx1"/>
            </w14:solidFill>
          </w14:textFill>
        </w:rPr>
        <w:t>2.</w:t>
      </w:r>
      <w:r>
        <w:rPr>
          <w:rFonts w:hint="eastAsia" w:ascii="宋体" w:hAnsi="宋体" w:eastAsia="宋体"/>
          <w:color w:val="000000" w:themeColor="text1"/>
          <w:kern w:val="1"/>
          <w:sz w:val="24"/>
          <w:szCs w:val="24"/>
          <w:highlight w:val="none"/>
          <w14:textFill>
            <w14:solidFill>
              <w14:schemeClr w14:val="tx1"/>
            </w14:solidFill>
          </w14:textFill>
        </w:rPr>
        <w:t>1给水管安装</w:t>
      </w:r>
      <w:bookmarkEnd w:id="1"/>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施工的基本工艺流程为：安装准备</w:t>
      </w:r>
      <w:r>
        <w:rPr>
          <w:rFonts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sym w:font="Wingdings" w:char="F0E0"/>
      </w:r>
      <w:r>
        <w:rPr>
          <w:rFonts w:hint="eastAsia" w:ascii="宋体" w:hAnsi="宋体" w:cs="宋体"/>
          <w:color w:val="000000" w:themeColor="text1"/>
          <w:kern w:val="1"/>
          <w:sz w:val="24"/>
          <w:szCs w:val="24"/>
          <w:highlight w:val="none"/>
          <w14:textFill>
            <w14:solidFill>
              <w14:schemeClr w14:val="tx1"/>
            </w14:solidFill>
          </w14:textFill>
        </w:rPr>
        <w:t xml:space="preserve"> 预制加工</w:t>
      </w:r>
      <w:r>
        <w:rPr>
          <w:rFonts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sym w:font="Wingdings" w:char="F0E0"/>
      </w:r>
      <w:r>
        <w:rPr>
          <w:rFonts w:hint="eastAsia" w:ascii="宋体" w:hAnsi="宋体" w:cs="宋体"/>
          <w:color w:val="000000" w:themeColor="text1"/>
          <w:kern w:val="1"/>
          <w:sz w:val="24"/>
          <w:szCs w:val="24"/>
          <w:highlight w:val="none"/>
          <w14:textFill>
            <w14:solidFill>
              <w14:schemeClr w14:val="tx1"/>
            </w14:solidFill>
          </w14:textFill>
        </w:rPr>
        <w:t xml:space="preserve"> 干管安装</w:t>
      </w:r>
      <w:r>
        <w:rPr>
          <w:rFonts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sym w:font="Wingdings" w:char="F0E0"/>
      </w:r>
      <w:r>
        <w:rPr>
          <w:rFonts w:hint="eastAsia" w:ascii="宋体" w:hAnsi="宋体" w:cs="宋体"/>
          <w:color w:val="000000" w:themeColor="text1"/>
          <w:kern w:val="1"/>
          <w:sz w:val="24"/>
          <w:szCs w:val="24"/>
          <w:highlight w:val="none"/>
          <w14:textFill>
            <w14:solidFill>
              <w14:schemeClr w14:val="tx1"/>
            </w14:solidFill>
          </w14:textFill>
        </w:rPr>
        <w:t xml:space="preserve"> 立管安装</w:t>
      </w:r>
      <w:r>
        <w:rPr>
          <w:rFonts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sym w:font="Wingdings" w:char="F0E0"/>
      </w:r>
      <w:r>
        <w:rPr>
          <w:rFonts w:hint="eastAsia" w:ascii="宋体" w:hAnsi="宋体" w:cs="宋体"/>
          <w:color w:val="000000" w:themeColor="text1"/>
          <w:kern w:val="1"/>
          <w:sz w:val="24"/>
          <w:szCs w:val="24"/>
          <w:highlight w:val="none"/>
          <w14:textFill>
            <w14:solidFill>
              <w14:schemeClr w14:val="tx1"/>
            </w14:solidFill>
          </w14:textFill>
        </w:rPr>
        <w:t xml:space="preserve"> 支管安装</w:t>
      </w:r>
      <w:r>
        <w:rPr>
          <w:rFonts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sym w:font="Wingdings" w:char="F0E0"/>
      </w:r>
      <w:r>
        <w:rPr>
          <w:rFonts w:hint="eastAsia" w:ascii="宋体" w:hAnsi="宋体" w:cs="宋体"/>
          <w:color w:val="000000" w:themeColor="text1"/>
          <w:kern w:val="1"/>
          <w:sz w:val="24"/>
          <w:szCs w:val="24"/>
          <w:highlight w:val="none"/>
          <w14:textFill>
            <w14:solidFill>
              <w14:schemeClr w14:val="tx1"/>
            </w14:solidFill>
          </w14:textFill>
        </w:rPr>
        <w:t xml:space="preserve"> 管道试压</w:t>
      </w:r>
      <w:r>
        <w:rPr>
          <w:rFonts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sym w:font="Wingdings" w:char="F0E0"/>
      </w:r>
      <w:r>
        <w:rPr>
          <w:rFonts w:hint="eastAsia" w:ascii="宋体" w:hAnsi="宋体" w:cs="宋体"/>
          <w:color w:val="000000" w:themeColor="text1"/>
          <w:kern w:val="1"/>
          <w:sz w:val="24"/>
          <w:szCs w:val="24"/>
          <w:highlight w:val="none"/>
          <w14:textFill>
            <w14:solidFill>
              <w14:schemeClr w14:val="tx1"/>
            </w14:solidFill>
          </w14:textFill>
        </w:rPr>
        <w:t xml:space="preserve"> 管道冲洗</w:t>
      </w:r>
      <w:r>
        <w:rPr>
          <w:rFonts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sym w:font="Wingdings" w:char="F0E0"/>
      </w:r>
      <w:r>
        <w:rPr>
          <w:rFonts w:hint="eastAsia" w:ascii="宋体" w:hAnsi="宋体" w:cs="宋体"/>
          <w:color w:val="000000" w:themeColor="text1"/>
          <w:kern w:val="1"/>
          <w:sz w:val="24"/>
          <w:szCs w:val="24"/>
          <w:highlight w:val="none"/>
          <w14:textFill>
            <w14:solidFill>
              <w14:schemeClr w14:val="tx1"/>
            </w14:solidFill>
          </w14:textFill>
        </w:rPr>
        <w:t xml:space="preserve"> 管道保温</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生活给水管 : 采用PE管，大于DN80</w:t>
      </w:r>
      <w:r>
        <w:rPr>
          <w:rFonts w:ascii="宋体" w:hAnsi="宋体" w:cs="宋体"/>
          <w:color w:val="000000" w:themeColor="text1"/>
          <w:kern w:val="1"/>
          <w:sz w:val="24"/>
          <w:szCs w:val="24"/>
          <w:highlight w:val="none"/>
          <w14:textFill>
            <w14:solidFill>
              <w14:schemeClr w14:val="tx1"/>
            </w14:solidFill>
          </w14:textFill>
        </w:rPr>
        <w:t>mm</w:t>
      </w:r>
      <w:r>
        <w:rPr>
          <w:rFonts w:hint="eastAsia" w:ascii="宋体" w:hAnsi="宋体" w:cs="宋体"/>
          <w:color w:val="000000" w:themeColor="text1"/>
          <w:kern w:val="1"/>
          <w:sz w:val="24"/>
          <w:szCs w:val="24"/>
          <w:highlight w:val="none"/>
          <w14:textFill>
            <w14:solidFill>
              <w14:schemeClr w14:val="tx1"/>
            </w14:solidFill>
          </w14:textFill>
        </w:rPr>
        <w:t>以上管材热熔连接，DN20~DN80</w:t>
      </w:r>
      <w:r>
        <w:rPr>
          <w:rFonts w:ascii="宋体" w:hAnsi="宋体" w:cs="宋体"/>
          <w:color w:val="000000" w:themeColor="text1"/>
          <w:kern w:val="1"/>
          <w:sz w:val="24"/>
          <w:szCs w:val="24"/>
          <w:highlight w:val="none"/>
          <w14:textFill>
            <w14:solidFill>
              <w14:schemeClr w14:val="tx1"/>
            </w14:solidFill>
          </w14:textFill>
        </w:rPr>
        <w:t>mm</w:t>
      </w:r>
      <w:r>
        <w:rPr>
          <w:rFonts w:hint="eastAsia" w:ascii="宋体" w:hAnsi="宋体" w:cs="宋体"/>
          <w:color w:val="000000" w:themeColor="text1"/>
          <w:kern w:val="1"/>
          <w:sz w:val="24"/>
          <w:szCs w:val="24"/>
          <w:highlight w:val="none"/>
          <w14:textFill>
            <w14:solidFill>
              <w14:schemeClr w14:val="tx1"/>
            </w14:solidFill>
          </w14:textFill>
        </w:rPr>
        <w:t>管道采用热熔承插连接。加压管材压力等级1.6MPa。</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w:t>
      </w:r>
      <w:r>
        <w:rPr>
          <w:rFonts w:hint="eastAsia" w:ascii="宋体" w:hAnsi="宋体" w:cs="宋体"/>
          <w:color w:val="000000" w:themeColor="text1"/>
          <w:kern w:val="1"/>
          <w:sz w:val="24"/>
          <w:szCs w:val="24"/>
          <w:highlight w:val="none"/>
          <w14:textFill>
            <w14:solidFill>
              <w14:schemeClr w14:val="tx1"/>
            </w14:solidFill>
          </w14:textFill>
        </w:rPr>
        <w:t>、管道预制加工：按设计图纸画出管道分路、管径、变径、预留管口、阀门位置等施工草图，在实际安装的结构位置做上标记，按标记分段量出实际安装的准确尺寸，记录在施工草图上，然后按草图测的尺寸预制加工。</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2</w:t>
      </w:r>
      <w:r>
        <w:rPr>
          <w:rFonts w:hint="eastAsia" w:ascii="宋体" w:hAnsi="宋体" w:cs="宋体"/>
          <w:color w:val="000000" w:themeColor="text1"/>
          <w:kern w:val="1"/>
          <w:sz w:val="24"/>
          <w:szCs w:val="24"/>
          <w:highlight w:val="none"/>
          <w14:textFill>
            <w14:solidFill>
              <w14:schemeClr w14:val="tx1"/>
            </w14:solidFill>
          </w14:textFill>
        </w:rPr>
        <w:t>、热熔连接的过程：</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将加热元件、管件和管子端部清理干净；加热管件和管子；换位；合缝、固定、冷却。</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3</w:t>
      </w:r>
      <w:r>
        <w:rPr>
          <w:rFonts w:hint="eastAsia" w:ascii="宋体" w:hAnsi="宋体" w:cs="宋体"/>
          <w:color w:val="000000" w:themeColor="text1"/>
          <w:kern w:val="1"/>
          <w:sz w:val="24"/>
          <w:szCs w:val="24"/>
          <w:highlight w:val="none"/>
          <w14:textFill>
            <w14:solidFill>
              <w14:schemeClr w14:val="tx1"/>
            </w14:solidFill>
          </w14:textFill>
        </w:rPr>
        <w:t>、熔接过程主要机具：手动加热器、熔接机、倒角器、刨削器。</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4</w:t>
      </w:r>
      <w:r>
        <w:rPr>
          <w:rFonts w:hint="eastAsia" w:ascii="宋体" w:hAnsi="宋体" w:cs="宋体"/>
          <w:color w:val="000000" w:themeColor="text1"/>
          <w:kern w:val="1"/>
          <w:sz w:val="24"/>
          <w:szCs w:val="24"/>
          <w:highlight w:val="none"/>
          <w14:textFill>
            <w14:solidFill>
              <w14:schemeClr w14:val="tx1"/>
            </w14:solidFill>
          </w14:textFill>
        </w:rPr>
        <w:t>、压力试验：直到压力检测开始前，所有熔接连接部位必须完全冷却，正常情况下，规定最后一个熔接过程结束</w:t>
      </w:r>
      <w:r>
        <w:rPr>
          <w:rFonts w:ascii="宋体" w:hAnsi="宋体" w:cs="宋体"/>
          <w:color w:val="000000" w:themeColor="text1"/>
          <w:kern w:val="1"/>
          <w:sz w:val="24"/>
          <w:szCs w:val="24"/>
          <w:highlight w:val="none"/>
          <w14:textFill>
            <w14:solidFill>
              <w14:schemeClr w14:val="tx1"/>
            </w14:solidFill>
          </w14:textFill>
        </w:rPr>
        <w:t>1</w:t>
      </w:r>
      <w:r>
        <w:rPr>
          <w:rFonts w:hint="eastAsia" w:ascii="宋体" w:hAnsi="宋体" w:cs="宋体"/>
          <w:color w:val="000000" w:themeColor="text1"/>
          <w:kern w:val="1"/>
          <w:sz w:val="24"/>
          <w:szCs w:val="24"/>
          <w:highlight w:val="none"/>
          <w14:textFill>
            <w14:solidFill>
              <w14:schemeClr w14:val="tx1"/>
            </w14:solidFill>
          </w14:textFill>
        </w:rPr>
        <w:t>小时后才能进行压力试验。</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5</w:t>
      </w:r>
      <w:r>
        <w:rPr>
          <w:rFonts w:hint="eastAsia" w:ascii="宋体" w:hAnsi="宋体" w:cs="宋体"/>
          <w:color w:val="000000" w:themeColor="text1"/>
          <w:kern w:val="1"/>
          <w:sz w:val="24"/>
          <w:szCs w:val="24"/>
          <w:highlight w:val="none"/>
          <w14:textFill>
            <w14:solidFill>
              <w14:schemeClr w14:val="tx1"/>
            </w14:solidFill>
          </w14:textFill>
        </w:rPr>
        <w:t>、热熔连接应按下列步骤进行：</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a.</w:t>
      </w:r>
      <w:r>
        <w:rPr>
          <w:rFonts w:hint="eastAsia" w:ascii="宋体" w:hAnsi="宋体" w:cs="宋体"/>
          <w:color w:val="000000" w:themeColor="text1"/>
          <w:kern w:val="1"/>
          <w:sz w:val="24"/>
          <w:szCs w:val="24"/>
          <w:highlight w:val="none"/>
          <w14:textFill>
            <w14:solidFill>
              <w14:schemeClr w14:val="tx1"/>
            </w14:solidFill>
          </w14:textFill>
        </w:rPr>
        <w:t>热熔工具接通电源，到达工作温度指示灯亮后方能开始操作。</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b.</w:t>
      </w:r>
      <w:r>
        <w:rPr>
          <w:rFonts w:hint="eastAsia" w:ascii="宋体" w:hAnsi="宋体" w:cs="宋体"/>
          <w:color w:val="000000" w:themeColor="text1"/>
          <w:kern w:val="1"/>
          <w:sz w:val="24"/>
          <w:szCs w:val="24"/>
          <w:highlight w:val="none"/>
          <w14:textFill>
            <w14:solidFill>
              <w14:schemeClr w14:val="tx1"/>
            </w14:solidFill>
          </w14:textFill>
        </w:rPr>
        <w:t>切割管材，必须使端面垂直于管轴线。管材切割一般使用管子剪或管道切割机，必要时可使用锋利的钢锯，但切割后管材断面应去除毛边和毛刺。</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c</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管材与管件连接端面必须清洁、干燥、无油。</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d</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用卡尺和合适的笔在管端测量并标绘出热熔深度，热熔深度应符合下表：</w:t>
      </w:r>
    </w:p>
    <w:tbl>
      <w:tblPr>
        <w:tblStyle w:val="13"/>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984"/>
        <w:gridCol w:w="1843"/>
        <w:gridCol w:w="1843"/>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702" w:type="dxa"/>
            <w:vAlign w:val="top"/>
          </w:tcPr>
          <w:p>
            <w:pPr>
              <w:pageBreakBefore w:val="0"/>
              <w:kinsoku/>
              <w:wordWrap/>
              <w:overflowPunct/>
              <w:topLinePunct w:val="0"/>
              <w:autoSpaceDE/>
              <w:autoSpaceDN/>
              <w:bidi w:val="0"/>
              <w:spacing w:line="528" w:lineRule="auto"/>
              <w:ind w:right="0" w:rightChars="0"/>
              <w:jc w:val="center"/>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公称外径</w:t>
            </w:r>
            <w:r>
              <w:rPr>
                <w:rFonts w:ascii="宋体" w:hAnsi="宋体" w:cs="宋体"/>
                <w:color w:val="000000" w:themeColor="text1"/>
                <w:kern w:val="1"/>
                <w:sz w:val="24"/>
                <w:szCs w:val="24"/>
                <w:highlight w:val="none"/>
                <w14:textFill>
                  <w14:solidFill>
                    <w14:schemeClr w14:val="tx1"/>
                  </w14:solidFill>
                </w14:textFill>
              </w:rPr>
              <w:t>(mm</w:t>
            </w:r>
            <w:r>
              <w:rPr>
                <w:rFonts w:hint="eastAsia" w:ascii="宋体" w:hAnsi="宋体" w:cs="宋体"/>
                <w:color w:val="000000" w:themeColor="text1"/>
                <w:kern w:val="1"/>
                <w:sz w:val="24"/>
                <w:szCs w:val="24"/>
                <w:highlight w:val="none"/>
                <w14:textFill>
                  <w14:solidFill>
                    <w14:schemeClr w14:val="tx1"/>
                  </w14:solidFill>
                </w14:textFill>
              </w:rPr>
              <w:t>)</w:t>
            </w:r>
          </w:p>
        </w:tc>
        <w:tc>
          <w:tcPr>
            <w:tcW w:w="1984"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热熔深度（</w:t>
            </w:r>
            <w:r>
              <w:rPr>
                <w:rFonts w:ascii="宋体" w:hAnsi="宋体" w:cs="宋体"/>
                <w:color w:val="000000" w:themeColor="text1"/>
                <w:kern w:val="1"/>
                <w:sz w:val="24"/>
                <w:szCs w:val="24"/>
                <w:highlight w:val="none"/>
                <w14:textFill>
                  <w14:solidFill>
                    <w14:schemeClr w14:val="tx1"/>
                  </w14:solidFill>
                </w14:textFill>
              </w:rPr>
              <w:t>mm</w:t>
            </w:r>
            <w:r>
              <w:rPr>
                <w:rFonts w:hint="eastAsia" w:ascii="宋体" w:hAnsi="宋体" w:cs="宋体"/>
                <w:color w:val="000000" w:themeColor="text1"/>
                <w:kern w:val="1"/>
                <w:sz w:val="24"/>
                <w:szCs w:val="24"/>
                <w:highlight w:val="none"/>
                <w14:textFill>
                  <w14:solidFill>
                    <w14:schemeClr w14:val="tx1"/>
                  </w14:solidFill>
                </w14:textFill>
              </w:rPr>
              <w:t>）</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加热时间（</w:t>
            </w:r>
            <w:r>
              <w:rPr>
                <w:rFonts w:ascii="宋体" w:hAnsi="宋体" w:cs="宋体"/>
                <w:color w:val="000000" w:themeColor="text1"/>
                <w:kern w:val="1"/>
                <w:sz w:val="24"/>
                <w:szCs w:val="24"/>
                <w:highlight w:val="none"/>
                <w14:textFill>
                  <w14:solidFill>
                    <w14:schemeClr w14:val="tx1"/>
                  </w14:solidFill>
                </w14:textFill>
              </w:rPr>
              <w:t>s</w:t>
            </w:r>
            <w:r>
              <w:rPr>
                <w:rFonts w:hint="eastAsia" w:ascii="宋体" w:hAnsi="宋体" w:cs="宋体"/>
                <w:color w:val="000000" w:themeColor="text1"/>
                <w:kern w:val="1"/>
                <w:sz w:val="24"/>
                <w:szCs w:val="24"/>
                <w:highlight w:val="none"/>
                <w14:textFill>
                  <w14:solidFill>
                    <w14:schemeClr w14:val="tx1"/>
                  </w14:solidFill>
                </w14:textFill>
              </w:rPr>
              <w:t>）</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加工时间（</w:t>
            </w:r>
            <w:r>
              <w:rPr>
                <w:rFonts w:ascii="宋体" w:hAnsi="宋体" w:cs="宋体"/>
                <w:color w:val="000000" w:themeColor="text1"/>
                <w:kern w:val="1"/>
                <w:sz w:val="24"/>
                <w:szCs w:val="24"/>
                <w:highlight w:val="none"/>
                <w14:textFill>
                  <w14:solidFill>
                    <w14:schemeClr w14:val="tx1"/>
                  </w14:solidFill>
                </w14:textFill>
              </w:rPr>
              <w:t>s</w:t>
            </w:r>
            <w:r>
              <w:rPr>
                <w:rFonts w:hint="eastAsia" w:ascii="宋体" w:hAnsi="宋体" w:cs="宋体"/>
                <w:color w:val="000000" w:themeColor="text1"/>
                <w:kern w:val="1"/>
                <w:sz w:val="24"/>
                <w:szCs w:val="24"/>
                <w:highlight w:val="none"/>
                <w14:textFill>
                  <w14:solidFill>
                    <w14:schemeClr w14:val="tx1"/>
                  </w14:solidFill>
                </w14:textFill>
              </w:rPr>
              <w:t>）</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冷却时间(</w:t>
            </w:r>
            <w:r>
              <w:rPr>
                <w:rFonts w:ascii="宋体" w:hAnsi="宋体" w:cs="宋体"/>
                <w:color w:val="000000" w:themeColor="text1"/>
                <w:kern w:val="1"/>
                <w:sz w:val="24"/>
                <w:szCs w:val="24"/>
                <w:highlight w:val="none"/>
                <w14:textFill>
                  <w14:solidFill>
                    <w14:schemeClr w14:val="tx1"/>
                  </w14:solidFill>
                </w14:textFill>
              </w:rPr>
              <w:t>min</w:t>
            </w:r>
            <w:r>
              <w:rPr>
                <w:rFonts w:hint="eastAsia" w:ascii="宋体" w:hAnsi="宋体" w:cs="宋体"/>
                <w:color w:val="000000" w:themeColor="text1"/>
                <w:kern w:val="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702"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20</w:t>
            </w:r>
          </w:p>
        </w:tc>
        <w:tc>
          <w:tcPr>
            <w:tcW w:w="1984"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14</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5</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702"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25</w:t>
            </w:r>
          </w:p>
        </w:tc>
        <w:tc>
          <w:tcPr>
            <w:tcW w:w="1984"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16</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7</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702"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32</w:t>
            </w:r>
          </w:p>
        </w:tc>
        <w:tc>
          <w:tcPr>
            <w:tcW w:w="1984"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20</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8</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702"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40</w:t>
            </w:r>
          </w:p>
        </w:tc>
        <w:tc>
          <w:tcPr>
            <w:tcW w:w="1984"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21</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12</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6</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702"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50</w:t>
            </w:r>
          </w:p>
        </w:tc>
        <w:tc>
          <w:tcPr>
            <w:tcW w:w="1984"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22.5</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18</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6</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702"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63</w:t>
            </w:r>
          </w:p>
        </w:tc>
        <w:tc>
          <w:tcPr>
            <w:tcW w:w="1984"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24</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24</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6</w:t>
            </w:r>
          </w:p>
        </w:tc>
        <w:tc>
          <w:tcPr>
            <w:tcW w:w="184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6</w:t>
            </w:r>
          </w:p>
        </w:tc>
      </w:tr>
    </w:tbl>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注:若环境温度小于5℃，加热时间延长50%。</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e</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熔接弯头或三通时按设计图纸要求，应注意其方向，在管件和管材的直线方向上用辅助标志标出其位置。</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f</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连接时，无旋转地把管端导入加热套内，插入到所标志的深度，同时，无旋转地把管件推到加热头上，达到规定标志处。加热时间应满足上表的规定。</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g</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达到加热时间后，立即把管材与管件从加热套与加热头上同时取下，迅速无旋转地直线均匀插入，到所标深度，使接头处形成均匀凸缘。</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h</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在上表规定的加工期间内，刚熔接好的接头还可校正，但严禁旋转。</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i</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采用金属管卡或吊架时，金属管卡与管道之间应采用塑料带或橡胶等软物隔垫。在金属管配件与给水聚丙烯管道连接部位，管卡应设在金属管配件一端。</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j</w:t>
      </w:r>
      <w:r>
        <w:rPr>
          <w:rFonts w:ascii="宋体" w:hAnsi="宋体" w:cs="宋体"/>
          <w:color w:val="000000" w:themeColor="text1"/>
          <w:kern w:val="1"/>
          <w:sz w:val="24"/>
          <w:szCs w:val="24"/>
          <w:highlight w:val="none"/>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立管和横管支吊架的间距不得大于下表的规定：</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冷水管支架最大间距</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tbl>
      <w:tblPr>
        <w:tblStyle w:val="13"/>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023"/>
        <w:gridCol w:w="1024"/>
        <w:gridCol w:w="1024"/>
        <w:gridCol w:w="1024"/>
        <w:gridCol w:w="1024"/>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6"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公称外径D</w:t>
            </w:r>
            <w:r>
              <w:rPr>
                <w:rFonts w:ascii="宋体" w:hAnsi="宋体" w:cs="宋体"/>
                <w:color w:val="000000" w:themeColor="text1"/>
                <w:kern w:val="1"/>
                <w:sz w:val="24"/>
                <w:szCs w:val="24"/>
                <w:highlight w:val="none"/>
                <w14:textFill>
                  <w14:solidFill>
                    <w14:schemeClr w14:val="tx1"/>
                  </w14:solidFill>
                </w14:textFill>
              </w:rPr>
              <w:t>e</w:t>
            </w:r>
            <w:r>
              <w:rPr>
                <w:rFonts w:hint="eastAsia"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t>mm</w:t>
            </w:r>
            <w:r>
              <w:rPr>
                <w:rFonts w:hint="eastAsia" w:ascii="宋体" w:hAnsi="宋体" w:cs="宋体"/>
                <w:color w:val="000000" w:themeColor="text1"/>
                <w:kern w:val="1"/>
                <w:sz w:val="24"/>
                <w:szCs w:val="24"/>
                <w:highlight w:val="none"/>
                <w14:textFill>
                  <w14:solidFill>
                    <w14:schemeClr w14:val="tx1"/>
                  </w14:solidFill>
                </w14:textFill>
              </w:rPr>
              <w:t>）</w:t>
            </w:r>
          </w:p>
        </w:tc>
        <w:tc>
          <w:tcPr>
            <w:tcW w:w="1023"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20</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25</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32</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40</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50</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6"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横管（</w:t>
            </w:r>
            <w:r>
              <w:rPr>
                <w:rFonts w:ascii="宋体" w:hAnsi="宋体" w:cs="宋体"/>
                <w:color w:val="000000" w:themeColor="text1"/>
                <w:kern w:val="1"/>
                <w:sz w:val="24"/>
                <w:szCs w:val="24"/>
                <w:highlight w:val="none"/>
                <w14:textFill>
                  <w14:solidFill>
                    <w14:schemeClr w14:val="tx1"/>
                  </w14:solidFill>
                </w14:textFill>
              </w:rPr>
              <w:t>mm</w:t>
            </w:r>
            <w:r>
              <w:rPr>
                <w:rFonts w:hint="eastAsia" w:ascii="宋体" w:hAnsi="宋体" w:cs="宋体"/>
                <w:color w:val="000000" w:themeColor="text1"/>
                <w:kern w:val="1"/>
                <w:sz w:val="24"/>
                <w:szCs w:val="24"/>
                <w:highlight w:val="none"/>
                <w14:textFill>
                  <w14:solidFill>
                    <w14:schemeClr w14:val="tx1"/>
                  </w14:solidFill>
                </w14:textFill>
              </w:rPr>
              <w:t>）</w:t>
            </w:r>
          </w:p>
        </w:tc>
        <w:tc>
          <w:tcPr>
            <w:tcW w:w="1023"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650</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800</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900</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1100</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1250</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6" w:type="dxa"/>
            <w:vAlign w:val="center"/>
          </w:tcPr>
          <w:p>
            <w:pPr>
              <w:pageBreakBefore w:val="0"/>
              <w:kinsoku/>
              <w:wordWrap/>
              <w:overflowPunct/>
              <w:topLinePunct w:val="0"/>
              <w:autoSpaceDE/>
              <w:autoSpaceDN/>
              <w:bidi w:val="0"/>
              <w:spacing w:line="528" w:lineRule="auto"/>
              <w:ind w:right="0" w:rightChars="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主管</w:t>
            </w:r>
            <w:r>
              <w:rPr>
                <w:rFonts w:ascii="宋体" w:hAnsi="宋体" w:cs="宋体"/>
                <w:color w:val="000000" w:themeColor="text1"/>
                <w:kern w:val="1"/>
                <w:sz w:val="24"/>
                <w:szCs w:val="24"/>
                <w:highlight w:val="none"/>
                <w14:textFill>
                  <w14:solidFill>
                    <w14:schemeClr w14:val="tx1"/>
                  </w14:solidFill>
                </w14:textFill>
              </w:rPr>
              <w:t>(mm)</w:t>
            </w:r>
          </w:p>
        </w:tc>
        <w:tc>
          <w:tcPr>
            <w:tcW w:w="1023"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1000</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1200</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1500</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1700</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1800</w:t>
            </w:r>
          </w:p>
        </w:tc>
        <w:tc>
          <w:tcPr>
            <w:tcW w:w="1024" w:type="dxa"/>
            <w:vAlign w:val="center"/>
          </w:tcPr>
          <w:p>
            <w:pPr>
              <w:pageBreakBefore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2000</w:t>
            </w:r>
          </w:p>
        </w:tc>
      </w:tr>
    </w:tbl>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热水管支架最大间距</w:t>
      </w:r>
    </w:p>
    <w:tbl>
      <w:tblPr>
        <w:tblStyle w:val="13"/>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3"/>
        <w:gridCol w:w="1031"/>
        <w:gridCol w:w="1031"/>
        <w:gridCol w:w="1031"/>
        <w:gridCol w:w="1031"/>
        <w:gridCol w:w="1031"/>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3"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公称外径D</w:t>
            </w:r>
            <w:r>
              <w:rPr>
                <w:rFonts w:ascii="宋体" w:hAnsi="宋体" w:cs="宋体"/>
                <w:color w:val="000000" w:themeColor="text1"/>
                <w:kern w:val="1"/>
                <w:sz w:val="24"/>
                <w:szCs w:val="24"/>
                <w:highlight w:val="none"/>
                <w14:textFill>
                  <w14:solidFill>
                    <w14:schemeClr w14:val="tx1"/>
                  </w14:solidFill>
                </w14:textFill>
              </w:rPr>
              <w:t>e</w:t>
            </w:r>
            <w:r>
              <w:rPr>
                <w:rFonts w:hint="eastAsia"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t>mm</w:t>
            </w:r>
            <w:r>
              <w:rPr>
                <w:rFonts w:hint="eastAsia" w:ascii="宋体" w:hAnsi="宋体" w:cs="宋体"/>
                <w:color w:val="000000" w:themeColor="text1"/>
                <w:kern w:val="1"/>
                <w:sz w:val="24"/>
                <w:szCs w:val="24"/>
                <w:highlight w:val="none"/>
                <w14:textFill>
                  <w14:solidFill>
                    <w14:schemeClr w14:val="tx1"/>
                  </w14:solidFill>
                </w14:textFill>
              </w:rPr>
              <w:t>）</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20</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25</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32</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40</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50</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3"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横管（</w:t>
            </w:r>
            <w:r>
              <w:rPr>
                <w:rFonts w:ascii="宋体" w:hAnsi="宋体" w:cs="宋体"/>
                <w:color w:val="000000" w:themeColor="text1"/>
                <w:kern w:val="1"/>
                <w:sz w:val="24"/>
                <w:szCs w:val="24"/>
                <w:highlight w:val="none"/>
                <w14:textFill>
                  <w14:solidFill>
                    <w14:schemeClr w14:val="tx1"/>
                  </w14:solidFill>
                </w14:textFill>
              </w:rPr>
              <w:t>mm</w:t>
            </w:r>
            <w:r>
              <w:rPr>
                <w:rFonts w:hint="eastAsia" w:ascii="宋体" w:hAnsi="宋体" w:cs="宋体"/>
                <w:color w:val="000000" w:themeColor="text1"/>
                <w:kern w:val="1"/>
                <w:sz w:val="24"/>
                <w:szCs w:val="24"/>
                <w:highlight w:val="none"/>
                <w14:textFill>
                  <w14:solidFill>
                    <w14:schemeClr w14:val="tx1"/>
                  </w14:solidFill>
                </w14:textFill>
              </w:rPr>
              <w:t>）</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500</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600</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700</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800</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900</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3" w:type="dxa"/>
            <w:vAlign w:val="center"/>
          </w:tcPr>
          <w:p>
            <w:pPr>
              <w:pageBreakBefore w:val="0"/>
              <w:kinsoku/>
              <w:wordWrap/>
              <w:overflowPunct/>
              <w:topLinePunct w:val="0"/>
              <w:autoSpaceDE/>
              <w:autoSpaceDN/>
              <w:bidi w:val="0"/>
              <w:spacing w:line="528" w:lineRule="auto"/>
              <w:ind w:right="0" w:rightChars="0"/>
              <w:jc w:val="center"/>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主管</w:t>
            </w:r>
            <w:r>
              <w:rPr>
                <w:rFonts w:ascii="宋体" w:hAnsi="宋体" w:cs="宋体"/>
                <w:color w:val="000000" w:themeColor="text1"/>
                <w:kern w:val="1"/>
                <w:sz w:val="24"/>
                <w:szCs w:val="24"/>
                <w:highlight w:val="none"/>
                <w14:textFill>
                  <w14:solidFill>
                    <w14:schemeClr w14:val="tx1"/>
                  </w14:solidFill>
                </w14:textFill>
              </w:rPr>
              <w:t>(mm)</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900</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1000</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1200</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1400</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1600</w:t>
            </w:r>
          </w:p>
        </w:tc>
        <w:tc>
          <w:tcPr>
            <w:tcW w:w="103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1700</w:t>
            </w:r>
          </w:p>
        </w:tc>
      </w:tr>
    </w:tbl>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注：若冷热水管共用支吊架时应根据热水管支吊架间距确定。暗敷直埋管道的支架间距可采用1000---1500MM。</w:t>
      </w:r>
    </w:p>
    <w:p>
      <w:pPr>
        <w:pStyle w:val="3"/>
        <w:keepNext w:val="0"/>
        <w:pageBreakBefore w:val="0"/>
        <w:kinsoku/>
        <w:wordWrap/>
        <w:overflowPunct/>
        <w:topLinePunct w:val="0"/>
        <w:autoSpaceDE/>
        <w:autoSpaceDN/>
        <w:bidi w:val="0"/>
        <w:spacing w:line="528" w:lineRule="auto"/>
        <w:ind w:right="0" w:rightChars="0"/>
        <w:textAlignment w:val="auto"/>
        <w:rPr>
          <w:rFonts w:hint="eastAsia" w:ascii="宋体" w:hAnsi="宋体" w:eastAsia="宋体"/>
          <w:color w:val="000000" w:themeColor="text1"/>
          <w:kern w:val="1"/>
          <w:sz w:val="24"/>
          <w:szCs w:val="24"/>
          <w:highlight w:val="none"/>
          <w14:textFill>
            <w14:solidFill>
              <w14:schemeClr w14:val="tx1"/>
            </w14:solidFill>
          </w14:textFill>
        </w:rPr>
      </w:pPr>
      <w:bookmarkStart w:id="2" w:name="_Toc446494748"/>
      <w:r>
        <w:rPr>
          <w:rFonts w:hint="eastAsia" w:ascii="宋体" w:hAnsi="宋体" w:eastAsia="宋体"/>
          <w:color w:val="000000" w:themeColor="text1"/>
          <w:kern w:val="1"/>
          <w:sz w:val="24"/>
          <w:szCs w:val="24"/>
          <w:highlight w:val="none"/>
          <w:lang w:eastAsia="zh-CN"/>
          <w14:textFill>
            <w14:solidFill>
              <w14:schemeClr w14:val="tx1"/>
            </w14:solidFill>
          </w14:textFill>
        </w:rPr>
        <w:t>2.</w:t>
      </w:r>
      <w:r>
        <w:rPr>
          <w:rFonts w:hint="eastAsia" w:ascii="宋体" w:hAnsi="宋体" w:eastAsia="宋体"/>
          <w:color w:val="000000" w:themeColor="text1"/>
          <w:kern w:val="1"/>
          <w:sz w:val="24"/>
          <w:szCs w:val="24"/>
          <w:highlight w:val="none"/>
          <w14:textFill>
            <w14:solidFill>
              <w14:schemeClr w14:val="tx1"/>
            </w14:solidFill>
          </w14:textFill>
        </w:rPr>
        <w:t>2排水系统安装</w:t>
      </w:r>
      <w:bookmarkEnd w:id="2"/>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本工程采用室内污水经收集后排入室外经化粪池处理后再排入市政污水管道.卫生间的污水立管设置伸顶通气顶端装伞型通气帽. 污废水采用PVC-U排水管，粘接或者胶圈密封连接；潜污泵配管镀锌钢管，丝扣连接。</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施工方法：由下而上进行安装，先主管，后支管。</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1、严格按验收规范进行选料施工，即排水管道的横管与横管，横管与立管的连接应采用</w:t>
      </w:r>
      <w:r>
        <w:rPr>
          <w:rFonts w:ascii="宋体" w:hAnsi="宋体" w:cs="宋体"/>
          <w:color w:val="000000" w:themeColor="text1"/>
          <w:kern w:val="1"/>
          <w:sz w:val="24"/>
          <w:szCs w:val="24"/>
          <w:highlight w:val="none"/>
          <w14:textFill>
            <w14:solidFill>
              <w14:schemeClr w14:val="tx1"/>
            </w14:solidFill>
          </w14:textFill>
        </w:rPr>
        <w:t>45</w:t>
      </w:r>
      <w:r>
        <w:rPr>
          <w:rFonts w:hint="eastAsia" w:ascii="宋体" w:hAnsi="宋体" w:cs="宋体"/>
          <w:color w:val="000000" w:themeColor="text1"/>
          <w:kern w:val="1"/>
          <w:sz w:val="24"/>
          <w:szCs w:val="24"/>
          <w:highlight w:val="none"/>
          <w14:textFill>
            <w14:solidFill>
              <w14:schemeClr w14:val="tx1"/>
            </w14:solidFill>
          </w14:textFill>
        </w:rPr>
        <w:t>度三通或</w:t>
      </w:r>
      <w:r>
        <w:rPr>
          <w:rFonts w:ascii="宋体" w:hAnsi="宋体" w:cs="宋体"/>
          <w:color w:val="000000" w:themeColor="text1"/>
          <w:kern w:val="1"/>
          <w:sz w:val="24"/>
          <w:szCs w:val="24"/>
          <w:highlight w:val="none"/>
          <w14:textFill>
            <w14:solidFill>
              <w14:schemeClr w14:val="tx1"/>
            </w14:solidFill>
          </w14:textFill>
        </w:rPr>
        <w:t>45</w:t>
      </w:r>
      <w:r>
        <w:rPr>
          <w:rFonts w:hint="eastAsia" w:ascii="宋体" w:hAnsi="宋体" w:cs="宋体"/>
          <w:color w:val="000000" w:themeColor="text1"/>
          <w:kern w:val="1"/>
          <w:sz w:val="24"/>
          <w:szCs w:val="24"/>
          <w:highlight w:val="none"/>
          <w14:textFill>
            <w14:solidFill>
              <w14:schemeClr w14:val="tx1"/>
            </w14:solidFill>
          </w14:textFill>
        </w:rPr>
        <w:t>度四通和</w:t>
      </w:r>
      <w:r>
        <w:rPr>
          <w:rFonts w:ascii="宋体" w:hAnsi="宋体" w:cs="宋体"/>
          <w:color w:val="000000" w:themeColor="text1"/>
          <w:kern w:val="1"/>
          <w:sz w:val="24"/>
          <w:szCs w:val="24"/>
          <w:highlight w:val="none"/>
          <w14:textFill>
            <w14:solidFill>
              <w14:schemeClr w14:val="tx1"/>
            </w14:solidFill>
          </w14:textFill>
        </w:rPr>
        <w:t>90</w:t>
      </w:r>
      <w:r>
        <w:rPr>
          <w:rFonts w:hint="eastAsia" w:ascii="宋体" w:hAnsi="宋体" w:cs="宋体"/>
          <w:color w:val="000000" w:themeColor="text1"/>
          <w:kern w:val="1"/>
          <w:sz w:val="24"/>
          <w:szCs w:val="24"/>
          <w:highlight w:val="none"/>
          <w14:textFill>
            <w14:solidFill>
              <w14:schemeClr w14:val="tx1"/>
            </w14:solidFill>
          </w14:textFill>
        </w:rPr>
        <w:t>度斜三通和</w:t>
      </w:r>
      <w:r>
        <w:rPr>
          <w:rFonts w:ascii="宋体" w:hAnsi="宋体" w:cs="宋体"/>
          <w:color w:val="000000" w:themeColor="text1"/>
          <w:kern w:val="1"/>
          <w:sz w:val="24"/>
          <w:szCs w:val="24"/>
          <w:highlight w:val="none"/>
          <w14:textFill>
            <w14:solidFill>
              <w14:schemeClr w14:val="tx1"/>
            </w14:solidFill>
          </w14:textFill>
        </w:rPr>
        <w:t>90</w:t>
      </w:r>
      <w:r>
        <w:rPr>
          <w:rFonts w:hint="eastAsia" w:ascii="宋体" w:hAnsi="宋体" w:cs="宋体"/>
          <w:color w:val="000000" w:themeColor="text1"/>
          <w:kern w:val="1"/>
          <w:sz w:val="24"/>
          <w:szCs w:val="24"/>
          <w:highlight w:val="none"/>
          <w14:textFill>
            <w14:solidFill>
              <w14:schemeClr w14:val="tx1"/>
            </w14:solidFill>
          </w14:textFill>
        </w:rPr>
        <w:t>度斜四通。主管与排出管端部的连接采用两个</w:t>
      </w:r>
      <w:r>
        <w:rPr>
          <w:rFonts w:ascii="宋体" w:hAnsi="宋体" w:cs="宋体"/>
          <w:color w:val="000000" w:themeColor="text1"/>
          <w:kern w:val="1"/>
          <w:sz w:val="24"/>
          <w:szCs w:val="24"/>
          <w:highlight w:val="none"/>
          <w14:textFill>
            <w14:solidFill>
              <w14:schemeClr w14:val="tx1"/>
            </w14:solidFill>
          </w14:textFill>
        </w:rPr>
        <w:t>45</w:t>
      </w:r>
      <w:r>
        <w:rPr>
          <w:rFonts w:hint="eastAsia" w:ascii="宋体" w:hAnsi="宋体" w:cs="宋体"/>
          <w:color w:val="000000" w:themeColor="text1"/>
          <w:kern w:val="1"/>
          <w:sz w:val="24"/>
          <w:szCs w:val="24"/>
          <w:highlight w:val="none"/>
          <w14:textFill>
            <w14:solidFill>
              <w14:schemeClr w14:val="tx1"/>
            </w14:solidFill>
          </w14:textFill>
        </w:rPr>
        <w:t>度弯头或弯曲半径不小于</w:t>
      </w:r>
      <w:r>
        <w:rPr>
          <w:rFonts w:ascii="宋体" w:hAnsi="宋体" w:cs="宋体"/>
          <w:color w:val="000000" w:themeColor="text1"/>
          <w:kern w:val="1"/>
          <w:sz w:val="24"/>
          <w:szCs w:val="24"/>
          <w:highlight w:val="none"/>
          <w14:textFill>
            <w14:solidFill>
              <w14:schemeClr w14:val="tx1"/>
            </w14:solidFill>
          </w14:textFill>
        </w:rPr>
        <w:t>4</w:t>
      </w:r>
      <w:r>
        <w:rPr>
          <w:rFonts w:hint="eastAsia" w:ascii="宋体" w:hAnsi="宋体" w:cs="宋体"/>
          <w:color w:val="000000" w:themeColor="text1"/>
          <w:kern w:val="1"/>
          <w:sz w:val="24"/>
          <w:szCs w:val="24"/>
          <w:highlight w:val="none"/>
          <w14:textFill>
            <w14:solidFill>
              <w14:schemeClr w14:val="tx1"/>
            </w14:solidFill>
          </w14:textFill>
        </w:rPr>
        <w:t>倍管径的</w:t>
      </w:r>
      <w:r>
        <w:rPr>
          <w:rFonts w:ascii="宋体" w:hAnsi="宋体" w:cs="宋体"/>
          <w:color w:val="000000" w:themeColor="text1"/>
          <w:kern w:val="1"/>
          <w:sz w:val="24"/>
          <w:szCs w:val="24"/>
          <w:highlight w:val="none"/>
          <w14:textFill>
            <w14:solidFill>
              <w14:schemeClr w14:val="tx1"/>
            </w14:solidFill>
          </w14:textFill>
        </w:rPr>
        <w:t>90</w:t>
      </w:r>
      <w:r>
        <w:rPr>
          <w:rFonts w:hint="eastAsia" w:ascii="宋体" w:hAnsi="宋体" w:cs="宋体"/>
          <w:color w:val="000000" w:themeColor="text1"/>
          <w:kern w:val="1"/>
          <w:sz w:val="24"/>
          <w:szCs w:val="24"/>
          <w:highlight w:val="none"/>
          <w14:textFill>
            <w14:solidFill>
              <w14:schemeClr w14:val="tx1"/>
            </w14:solidFill>
          </w14:textFill>
        </w:rPr>
        <w:t>度弯头。</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生活污水管道的坡度应符合下表规定：</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tbl>
      <w:tblPr>
        <w:tblStyle w:val="13"/>
        <w:tblW w:w="7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2100"/>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2000"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管径</w:t>
            </w:r>
          </w:p>
        </w:tc>
        <w:tc>
          <w:tcPr>
            <w:tcW w:w="5200" w:type="dxa"/>
            <w:gridSpan w:val="2"/>
            <w:tcBorders>
              <w:bottom w:val="single" w:color="auto" w:sz="4" w:space="0"/>
            </w:tcBorders>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坡度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2000"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2100" w:type="dxa"/>
            <w:tcBorders>
              <w:top w:val="single" w:color="auto" w:sz="4" w:space="0"/>
            </w:tcBorders>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坡度标准</w:t>
            </w:r>
          </w:p>
        </w:tc>
        <w:tc>
          <w:tcPr>
            <w:tcW w:w="3100" w:type="dxa"/>
            <w:tcBorders>
              <w:top w:val="single" w:color="auto" w:sz="4" w:space="0"/>
            </w:tcBorders>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最小坡度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200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50</w:t>
            </w:r>
          </w:p>
        </w:tc>
        <w:tc>
          <w:tcPr>
            <w:tcW w:w="21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0.035</w:t>
            </w:r>
          </w:p>
        </w:tc>
        <w:tc>
          <w:tcPr>
            <w:tcW w:w="31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75</w:t>
            </w:r>
          </w:p>
        </w:tc>
        <w:tc>
          <w:tcPr>
            <w:tcW w:w="21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0.025</w:t>
            </w:r>
          </w:p>
        </w:tc>
        <w:tc>
          <w:tcPr>
            <w:tcW w:w="31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100</w:t>
            </w:r>
          </w:p>
        </w:tc>
        <w:tc>
          <w:tcPr>
            <w:tcW w:w="21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0.020</w:t>
            </w:r>
          </w:p>
        </w:tc>
        <w:tc>
          <w:tcPr>
            <w:tcW w:w="31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125</w:t>
            </w:r>
          </w:p>
        </w:tc>
        <w:tc>
          <w:tcPr>
            <w:tcW w:w="21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0.015</w:t>
            </w:r>
          </w:p>
        </w:tc>
        <w:tc>
          <w:tcPr>
            <w:tcW w:w="31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150</w:t>
            </w:r>
          </w:p>
        </w:tc>
        <w:tc>
          <w:tcPr>
            <w:tcW w:w="21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0.010</w:t>
            </w:r>
          </w:p>
        </w:tc>
        <w:tc>
          <w:tcPr>
            <w:tcW w:w="31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200</w:t>
            </w:r>
          </w:p>
        </w:tc>
        <w:tc>
          <w:tcPr>
            <w:tcW w:w="21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0.008</w:t>
            </w:r>
          </w:p>
        </w:tc>
        <w:tc>
          <w:tcPr>
            <w:tcW w:w="3100"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0.005</w:t>
            </w:r>
          </w:p>
        </w:tc>
      </w:tr>
    </w:tbl>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2、排水管道上的吊钩或管箍固定在承重结构上，固定间距：横杆不大于</w:t>
      </w:r>
      <w:r>
        <w:rPr>
          <w:rFonts w:ascii="宋体" w:hAnsi="宋体" w:cs="宋体"/>
          <w:color w:val="000000" w:themeColor="text1"/>
          <w:kern w:val="1"/>
          <w:sz w:val="24"/>
          <w:szCs w:val="24"/>
          <w:highlight w:val="none"/>
          <w14:textFill>
            <w14:solidFill>
              <w14:schemeClr w14:val="tx1"/>
            </w14:solidFill>
          </w14:textFill>
        </w:rPr>
        <w:t>2M</w:t>
      </w:r>
      <w:r>
        <w:rPr>
          <w:rFonts w:hint="eastAsia" w:ascii="宋体" w:hAnsi="宋体" w:cs="宋体"/>
          <w:color w:val="000000" w:themeColor="text1"/>
          <w:kern w:val="1"/>
          <w:sz w:val="24"/>
          <w:szCs w:val="24"/>
          <w:highlight w:val="none"/>
          <w14:textFill>
            <w14:solidFill>
              <w14:schemeClr w14:val="tx1"/>
            </w14:solidFill>
          </w14:textFill>
        </w:rPr>
        <w:t>，立管不大于</w:t>
      </w:r>
      <w:r>
        <w:rPr>
          <w:rFonts w:ascii="宋体" w:hAnsi="宋体" w:cs="宋体"/>
          <w:color w:val="000000" w:themeColor="text1"/>
          <w:kern w:val="1"/>
          <w:sz w:val="24"/>
          <w:szCs w:val="24"/>
          <w:highlight w:val="none"/>
          <w14:textFill>
            <w14:solidFill>
              <w14:schemeClr w14:val="tx1"/>
            </w14:solidFill>
          </w14:textFill>
        </w:rPr>
        <w:t>3M</w:t>
      </w:r>
      <w:r>
        <w:rPr>
          <w:rFonts w:hint="eastAsia" w:ascii="宋体" w:hAnsi="宋体" w:cs="宋体"/>
          <w:color w:val="000000" w:themeColor="text1"/>
          <w:kern w:val="1"/>
          <w:sz w:val="24"/>
          <w:szCs w:val="24"/>
          <w:highlight w:val="none"/>
          <w14:textFill>
            <w14:solidFill>
              <w14:schemeClr w14:val="tx1"/>
            </w14:solidFill>
          </w14:textFill>
        </w:rPr>
        <w:t>，层高小于或等于</w:t>
      </w:r>
      <w:r>
        <w:rPr>
          <w:rFonts w:ascii="宋体" w:hAnsi="宋体" w:cs="宋体"/>
          <w:color w:val="000000" w:themeColor="text1"/>
          <w:kern w:val="1"/>
          <w:sz w:val="24"/>
          <w:szCs w:val="24"/>
          <w:highlight w:val="none"/>
          <w14:textFill>
            <w14:solidFill>
              <w14:schemeClr w14:val="tx1"/>
            </w14:solidFill>
          </w14:textFill>
        </w:rPr>
        <w:t>4M</w:t>
      </w:r>
      <w:r>
        <w:rPr>
          <w:rFonts w:hint="eastAsia" w:ascii="宋体" w:hAnsi="宋体" w:cs="宋体"/>
          <w:color w:val="000000" w:themeColor="text1"/>
          <w:kern w:val="1"/>
          <w:sz w:val="24"/>
          <w:szCs w:val="24"/>
          <w:highlight w:val="none"/>
          <w14:textFill>
            <w14:solidFill>
              <w14:schemeClr w14:val="tx1"/>
            </w14:solidFill>
          </w14:textFill>
        </w:rPr>
        <w:t xml:space="preserve">立管可在中间或1800 </w:t>
      </w:r>
      <w:r>
        <w:rPr>
          <w:rFonts w:ascii="宋体" w:hAnsi="宋体" w:cs="宋体"/>
          <w:color w:val="000000" w:themeColor="text1"/>
          <w:kern w:val="1"/>
          <w:sz w:val="24"/>
          <w:szCs w:val="24"/>
          <w:highlight w:val="none"/>
          <w14:textFill>
            <w14:solidFill>
              <w14:schemeClr w14:val="tx1"/>
            </w14:solidFill>
          </w14:textFill>
        </w:rPr>
        <w:t>mm</w:t>
      </w:r>
      <w:r>
        <w:rPr>
          <w:rFonts w:hint="eastAsia" w:ascii="宋体" w:hAnsi="宋体" w:cs="宋体"/>
          <w:color w:val="000000" w:themeColor="text1"/>
          <w:kern w:val="1"/>
          <w:sz w:val="24"/>
          <w:szCs w:val="24"/>
          <w:highlight w:val="none"/>
          <w14:textFill>
            <w14:solidFill>
              <w14:schemeClr w14:val="tx1"/>
            </w14:solidFill>
          </w14:textFill>
        </w:rPr>
        <w:t>位置安</w:t>
      </w:r>
      <w:r>
        <w:rPr>
          <w:rFonts w:ascii="宋体" w:hAnsi="宋体" w:cs="宋体"/>
          <w:color w:val="000000" w:themeColor="text1"/>
          <w:kern w:val="1"/>
          <w:sz w:val="24"/>
          <w:szCs w:val="24"/>
          <w:highlight w:val="none"/>
          <w14:textFill>
            <w14:solidFill>
              <w14:schemeClr w14:val="tx1"/>
            </w14:solidFill>
          </w14:textFill>
        </w:rPr>
        <w:t>1</w:t>
      </w:r>
      <w:r>
        <w:rPr>
          <w:rFonts w:hint="eastAsia" w:ascii="宋体" w:hAnsi="宋体" w:cs="宋体"/>
          <w:color w:val="000000" w:themeColor="text1"/>
          <w:kern w:val="1"/>
          <w:sz w:val="24"/>
          <w:szCs w:val="24"/>
          <w:highlight w:val="none"/>
          <w14:textFill>
            <w14:solidFill>
              <w14:schemeClr w14:val="tx1"/>
            </w14:solidFill>
          </w14:textFill>
        </w:rPr>
        <w:t>个固定件，立管底部的弯管外应设支墩。</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3、由室内通向室外的排水管，井内引入管宜高出排出管或两管相平，并有不小于</w:t>
      </w:r>
      <w:r>
        <w:rPr>
          <w:rFonts w:ascii="宋体" w:hAnsi="宋体" w:cs="宋体"/>
          <w:color w:val="000000" w:themeColor="text1"/>
          <w:kern w:val="1"/>
          <w:sz w:val="24"/>
          <w:szCs w:val="24"/>
          <w:highlight w:val="none"/>
          <w14:textFill>
            <w14:solidFill>
              <w14:schemeClr w14:val="tx1"/>
            </w14:solidFill>
          </w14:textFill>
        </w:rPr>
        <w:t>90</w:t>
      </w:r>
      <w:r>
        <w:rPr>
          <w:rFonts w:hint="eastAsia" w:ascii="宋体" w:hAnsi="宋体" w:cs="宋体"/>
          <w:color w:val="000000" w:themeColor="text1"/>
          <w:kern w:val="1"/>
          <w:sz w:val="24"/>
          <w:szCs w:val="24"/>
          <w:highlight w:val="none"/>
          <w14:textFill>
            <w14:solidFill>
              <w14:schemeClr w14:val="tx1"/>
            </w14:solidFill>
          </w14:textFill>
        </w:rPr>
        <w:t>度的水流转角。如跌落差大于</w:t>
      </w:r>
      <w:r>
        <w:rPr>
          <w:rFonts w:ascii="宋体" w:hAnsi="宋体" w:cs="宋体"/>
          <w:color w:val="000000" w:themeColor="text1"/>
          <w:kern w:val="1"/>
          <w:sz w:val="24"/>
          <w:szCs w:val="24"/>
          <w:highlight w:val="none"/>
          <w14:textFill>
            <w14:solidFill>
              <w14:schemeClr w14:val="tx1"/>
            </w14:solidFill>
          </w14:textFill>
        </w:rPr>
        <w:t>300MM</w:t>
      </w:r>
      <w:r>
        <w:rPr>
          <w:rFonts w:hint="eastAsia" w:ascii="宋体" w:hAnsi="宋体" w:cs="宋体"/>
          <w:color w:val="000000" w:themeColor="text1"/>
          <w:kern w:val="1"/>
          <w:sz w:val="24"/>
          <w:szCs w:val="24"/>
          <w:highlight w:val="none"/>
          <w14:textFill>
            <w14:solidFill>
              <w14:schemeClr w14:val="tx1"/>
            </w14:solidFill>
          </w14:textFill>
        </w:rPr>
        <w:t>可不受角度的限制。检查口与清扫口的设置按照图纸和规范规定。暗装和埋地管在隐蔽前做灌水试验。灌水高度应不低于底层地面高度，所有排水管坡度按设计要求进行。</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水平敷设的排水管安装：先将托架按坡度载好，或载好吊卡，量准吊杆尺寸，将预制好的管道托到架子上，再将支干管对准立管的管口套上胶皮圈再套上卡箍拧紧卡箍螺栓。支管安装完后，可将卫生器具或设备的预留管安装到位，找准尺寸并配合土建将楼板孔洞堵严，预留管口进行封堵。安装立管时管井内必须铺好跳板，两人上下应配合，一人在上一层楼板上，由管井内投下一个绳头，下面一人将预制好的立管上半部拴牢，上拉下托将立管下部对准下面立管的管口套上胶皮圈再套上卡箍拧紧卡箍螺栓；立管垂直度必须控制在每米3MM以内。立管检查口每隔一层设置，中心标高为1米，“H”型通气管按设计要求设置，中心标高为1米，当检查口与通气管相重时通气管应安装在检查口的上面.</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5、雨水管道安装：管道安装方法同上述排水管安装。雨水漏斗的连接管应固定在屋面承重结构上。雨水斗边缘与屋面相接触处严密不漏。雨水管道安装后应作灌水试验，高度必须到每根立管最上部的雨水漏斗位置。</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室内排水管道安装允许偏差及检验方法</w:t>
      </w:r>
    </w:p>
    <w:tbl>
      <w:tblPr>
        <w:tblStyle w:val="13"/>
        <w:tblW w:w="8895" w:type="dxa"/>
        <w:jc w:val="center"/>
        <w:tblInd w:w="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992"/>
        <w:gridCol w:w="2268"/>
        <w:gridCol w:w="1276"/>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789" w:type="dxa"/>
            <w:gridSpan w:val="3"/>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项目</w:t>
            </w:r>
          </w:p>
        </w:tc>
        <w:tc>
          <w:tcPr>
            <w:tcW w:w="1276" w:type="dxa"/>
            <w:vAlign w:val="center"/>
          </w:tcPr>
          <w:p>
            <w:pPr>
              <w:pageBreakBefore w:val="0"/>
              <w:kinsoku/>
              <w:wordWrap/>
              <w:overflowPunct/>
              <w:topLinePunct w:val="0"/>
              <w:autoSpaceDE/>
              <w:autoSpaceDN/>
              <w:bidi w:val="0"/>
              <w:spacing w:line="528" w:lineRule="auto"/>
              <w:ind w:right="0" w:rightChars="0"/>
              <w:jc w:val="center"/>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允许偏差</w:t>
            </w:r>
          </w:p>
        </w:tc>
        <w:tc>
          <w:tcPr>
            <w:tcW w:w="283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789" w:type="dxa"/>
            <w:gridSpan w:val="3"/>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坐标</w:t>
            </w:r>
          </w:p>
        </w:tc>
        <w:tc>
          <w:tcPr>
            <w:tcW w:w="1276"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15</w:t>
            </w:r>
          </w:p>
        </w:tc>
        <w:tc>
          <w:tcPr>
            <w:tcW w:w="283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789" w:type="dxa"/>
            <w:gridSpan w:val="3"/>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标高</w:t>
            </w:r>
          </w:p>
        </w:tc>
        <w:tc>
          <w:tcPr>
            <w:tcW w:w="1276"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t>15</w:t>
            </w:r>
          </w:p>
        </w:tc>
        <w:tc>
          <w:tcPr>
            <w:tcW w:w="283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29"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水平管道纵横弯管</w:t>
            </w:r>
          </w:p>
        </w:tc>
        <w:tc>
          <w:tcPr>
            <w:tcW w:w="992"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塑料管</w:t>
            </w:r>
          </w:p>
        </w:tc>
        <w:tc>
          <w:tcPr>
            <w:tcW w:w="2268"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每</w:t>
            </w:r>
            <w:r>
              <w:rPr>
                <w:rFonts w:ascii="宋体" w:hAnsi="宋体" w:cs="宋体"/>
                <w:color w:val="000000" w:themeColor="text1"/>
                <w:kern w:val="1"/>
                <w:sz w:val="24"/>
                <w:szCs w:val="24"/>
                <w:highlight w:val="none"/>
                <w14:textFill>
                  <w14:solidFill>
                    <w14:schemeClr w14:val="tx1"/>
                  </w14:solidFill>
                </w14:textFill>
              </w:rPr>
              <w:t>1</w:t>
            </w:r>
            <w:r>
              <w:rPr>
                <w:rFonts w:hint="eastAsia" w:ascii="宋体" w:hAnsi="宋体" w:cs="宋体"/>
                <w:color w:val="000000" w:themeColor="text1"/>
                <w:kern w:val="1"/>
                <w:sz w:val="24"/>
                <w:szCs w:val="24"/>
                <w:highlight w:val="none"/>
                <w14:textFill>
                  <w14:solidFill>
                    <w14:schemeClr w14:val="tx1"/>
                  </w14:solidFill>
                </w14:textFill>
              </w:rPr>
              <w:t>米</w:t>
            </w:r>
          </w:p>
        </w:tc>
        <w:tc>
          <w:tcPr>
            <w:tcW w:w="1276"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1.5</w:t>
            </w:r>
          </w:p>
        </w:tc>
        <w:tc>
          <w:tcPr>
            <w:tcW w:w="2830"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用水平尺（水准仪）直尺、拉线和尺量检查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29" w:type="dxa"/>
            <w:vMerge w:val="continue"/>
            <w:vAlign w:val="center"/>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992" w:type="dxa"/>
            <w:vMerge w:val="continue"/>
            <w:vAlign w:val="center"/>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2268"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全长（</w:t>
            </w:r>
            <w:r>
              <w:rPr>
                <w:rFonts w:ascii="宋体" w:hAnsi="宋体" w:cs="宋体"/>
                <w:color w:val="000000" w:themeColor="text1"/>
                <w:kern w:val="1"/>
                <w:sz w:val="24"/>
                <w:szCs w:val="24"/>
                <w:highlight w:val="none"/>
                <w14:textFill>
                  <w14:solidFill>
                    <w14:schemeClr w14:val="tx1"/>
                  </w14:solidFill>
                </w14:textFill>
              </w:rPr>
              <w:t>25</w:t>
            </w:r>
            <w:r>
              <w:rPr>
                <w:rFonts w:hint="eastAsia" w:ascii="宋体" w:hAnsi="宋体" w:cs="宋体"/>
                <w:color w:val="000000" w:themeColor="text1"/>
                <w:kern w:val="1"/>
                <w:sz w:val="24"/>
                <w:szCs w:val="24"/>
                <w:highlight w:val="none"/>
                <w14:textFill>
                  <w14:solidFill>
                    <w14:schemeClr w14:val="tx1"/>
                  </w14:solidFill>
                </w14:textFill>
              </w:rPr>
              <w:t>米以上）</w:t>
            </w:r>
          </w:p>
        </w:tc>
        <w:tc>
          <w:tcPr>
            <w:tcW w:w="1276"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t>38</w:t>
            </w:r>
          </w:p>
        </w:tc>
        <w:tc>
          <w:tcPr>
            <w:tcW w:w="2830" w:type="dxa"/>
            <w:vMerge w:val="continue"/>
            <w:vAlign w:val="center"/>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29"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立管垂直度</w:t>
            </w:r>
          </w:p>
        </w:tc>
        <w:tc>
          <w:tcPr>
            <w:tcW w:w="992"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塑料管</w:t>
            </w:r>
          </w:p>
        </w:tc>
        <w:tc>
          <w:tcPr>
            <w:tcW w:w="2268"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每</w:t>
            </w:r>
            <w:r>
              <w:rPr>
                <w:rFonts w:ascii="宋体" w:hAnsi="宋体" w:cs="宋体"/>
                <w:color w:val="000000" w:themeColor="text1"/>
                <w:kern w:val="1"/>
                <w:sz w:val="24"/>
                <w:szCs w:val="24"/>
                <w:highlight w:val="none"/>
                <w14:textFill>
                  <w14:solidFill>
                    <w14:schemeClr w14:val="tx1"/>
                  </w14:solidFill>
                </w14:textFill>
              </w:rPr>
              <w:t>1</w:t>
            </w:r>
            <w:r>
              <w:rPr>
                <w:rFonts w:hint="eastAsia" w:ascii="宋体" w:hAnsi="宋体" w:cs="宋体"/>
                <w:color w:val="000000" w:themeColor="text1"/>
                <w:kern w:val="1"/>
                <w:sz w:val="24"/>
                <w:szCs w:val="24"/>
                <w:highlight w:val="none"/>
                <w14:textFill>
                  <w14:solidFill>
                    <w14:schemeClr w14:val="tx1"/>
                  </w14:solidFill>
                </w14:textFill>
              </w:rPr>
              <w:t>米</w:t>
            </w:r>
          </w:p>
        </w:tc>
        <w:tc>
          <w:tcPr>
            <w:tcW w:w="1276"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3</w:t>
            </w:r>
          </w:p>
        </w:tc>
        <w:tc>
          <w:tcPr>
            <w:tcW w:w="2830"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吊线和尺量检查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29" w:type="dxa"/>
            <w:vMerge w:val="continue"/>
            <w:vAlign w:val="top"/>
          </w:tcPr>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992" w:type="dxa"/>
            <w:vMerge w:val="continue"/>
            <w:vAlign w:val="top"/>
          </w:tcPr>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2268"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全长</w:t>
            </w:r>
            <w:r>
              <w:rPr>
                <w:rFonts w:ascii="宋体" w:hAnsi="宋体" w:cs="宋体"/>
                <w:color w:val="000000" w:themeColor="text1"/>
                <w:kern w:val="1"/>
                <w:sz w:val="24"/>
                <w:szCs w:val="24"/>
                <w:highlight w:val="none"/>
                <w14:textFill>
                  <w14:solidFill>
                    <w14:schemeClr w14:val="tx1"/>
                  </w14:solidFill>
                </w14:textFill>
              </w:rPr>
              <w:t>5</w:t>
            </w:r>
            <w:r>
              <w:rPr>
                <w:rFonts w:hint="eastAsia" w:ascii="宋体" w:hAnsi="宋体" w:cs="宋体"/>
                <w:color w:val="000000" w:themeColor="text1"/>
                <w:kern w:val="1"/>
                <w:sz w:val="24"/>
                <w:szCs w:val="24"/>
                <w:highlight w:val="none"/>
                <w14:textFill>
                  <w14:solidFill>
                    <w14:schemeClr w14:val="tx1"/>
                  </w14:solidFill>
                </w14:textFill>
              </w:rPr>
              <w:t>米以上</w:t>
            </w:r>
          </w:p>
        </w:tc>
        <w:tc>
          <w:tcPr>
            <w:tcW w:w="1276"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t>15</w:t>
            </w:r>
          </w:p>
        </w:tc>
        <w:tc>
          <w:tcPr>
            <w:tcW w:w="2830" w:type="dxa"/>
            <w:vMerge w:val="continue"/>
            <w:vAlign w:val="top"/>
          </w:tcPr>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tc>
      </w:tr>
    </w:tbl>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按规定在管子底部以上隔一层设一个检查口，并在最低层和卫生器具最高层设置检查口，检查口的高度由地面至检查口中心一般为</w:t>
      </w:r>
      <w:r>
        <w:rPr>
          <w:rFonts w:ascii="宋体" w:hAnsi="宋体" w:cs="宋体"/>
          <w:color w:val="000000" w:themeColor="text1"/>
          <w:kern w:val="1"/>
          <w:sz w:val="24"/>
          <w:szCs w:val="24"/>
          <w:highlight w:val="none"/>
          <w14:textFill>
            <w14:solidFill>
              <w14:schemeClr w14:val="tx1"/>
            </w14:solidFill>
          </w14:textFill>
        </w:rPr>
        <w:t>1</w:t>
      </w:r>
      <w:r>
        <w:rPr>
          <w:rFonts w:hint="eastAsia" w:ascii="宋体" w:hAnsi="宋体" w:cs="宋体"/>
          <w:color w:val="000000" w:themeColor="text1"/>
          <w:kern w:val="1"/>
          <w:sz w:val="24"/>
          <w:szCs w:val="24"/>
          <w:highlight w:val="none"/>
          <w14:textFill>
            <w14:solidFill>
              <w14:schemeClr w14:val="tx1"/>
            </w14:solidFill>
          </w14:textFill>
        </w:rPr>
        <w:t>米，朝向便于检查，连接两个及两个以上大便器或三个以上的卫生器具的污水横管末端设清扫口，污水管起点的清扫口与管道相垂直的墙面距离，不小于</w:t>
      </w:r>
      <w:r>
        <w:rPr>
          <w:rFonts w:ascii="宋体" w:hAnsi="宋体" w:cs="宋体"/>
          <w:color w:val="000000" w:themeColor="text1"/>
          <w:kern w:val="1"/>
          <w:sz w:val="24"/>
          <w:szCs w:val="24"/>
          <w:highlight w:val="none"/>
          <w14:textFill>
            <w14:solidFill>
              <w14:schemeClr w14:val="tx1"/>
            </w14:solidFill>
          </w14:textFill>
        </w:rPr>
        <w:t>200mm</w:t>
      </w:r>
      <w:r>
        <w:rPr>
          <w:rFonts w:hint="eastAsia" w:ascii="宋体" w:hAnsi="宋体" w:cs="宋体"/>
          <w:color w:val="000000" w:themeColor="text1"/>
          <w:kern w:val="1"/>
          <w:sz w:val="24"/>
          <w:szCs w:val="24"/>
          <w:highlight w:val="none"/>
          <w14:textFill>
            <w14:solidFill>
              <w14:schemeClr w14:val="tx1"/>
            </w14:solidFill>
          </w14:textFill>
        </w:rPr>
        <w:t>，若设置堵头代替清扫口，与墙体距离不小于</w:t>
      </w:r>
      <w:r>
        <w:rPr>
          <w:rFonts w:ascii="宋体" w:hAnsi="宋体" w:cs="宋体"/>
          <w:color w:val="000000" w:themeColor="text1"/>
          <w:kern w:val="1"/>
          <w:sz w:val="24"/>
          <w:szCs w:val="24"/>
          <w:highlight w:val="none"/>
          <w14:textFill>
            <w14:solidFill>
              <w14:schemeClr w14:val="tx1"/>
            </w14:solidFill>
          </w14:textFill>
        </w:rPr>
        <w:t>40mm</w:t>
      </w:r>
      <w:r>
        <w:rPr>
          <w:rFonts w:hint="eastAsia" w:ascii="宋体" w:hAnsi="宋体" w:cs="宋体"/>
          <w:color w:val="000000" w:themeColor="text1"/>
          <w:kern w:val="1"/>
          <w:sz w:val="24"/>
          <w:szCs w:val="24"/>
          <w:highlight w:val="none"/>
          <w14:textFill>
            <w14:solidFill>
              <w14:schemeClr w14:val="tx1"/>
            </w14:solidFill>
          </w14:textFill>
        </w:rPr>
        <w:t>。</w:t>
      </w:r>
    </w:p>
    <w:p>
      <w:pPr>
        <w:pStyle w:val="3"/>
        <w:keepNext w:val="0"/>
        <w:pageBreakBefore w:val="0"/>
        <w:kinsoku/>
        <w:wordWrap/>
        <w:overflowPunct/>
        <w:topLinePunct w:val="0"/>
        <w:autoSpaceDE/>
        <w:autoSpaceDN/>
        <w:bidi w:val="0"/>
        <w:spacing w:line="528" w:lineRule="auto"/>
        <w:ind w:right="0" w:rightChars="0"/>
        <w:textAlignment w:val="auto"/>
        <w:rPr>
          <w:rFonts w:hint="eastAsia" w:ascii="宋体" w:hAnsi="宋体" w:eastAsia="宋体"/>
          <w:color w:val="000000" w:themeColor="text1"/>
          <w:kern w:val="1"/>
          <w:sz w:val="24"/>
          <w:szCs w:val="24"/>
          <w:highlight w:val="none"/>
          <w14:textFill>
            <w14:solidFill>
              <w14:schemeClr w14:val="tx1"/>
            </w14:solidFill>
          </w14:textFill>
        </w:rPr>
      </w:pPr>
      <w:bookmarkStart w:id="3" w:name="_Toc446494749"/>
      <w:r>
        <w:rPr>
          <w:rFonts w:hint="eastAsia" w:ascii="宋体" w:hAnsi="宋体" w:eastAsia="宋体"/>
          <w:color w:val="000000" w:themeColor="text1"/>
          <w:kern w:val="1"/>
          <w:sz w:val="24"/>
          <w:szCs w:val="24"/>
          <w:highlight w:val="none"/>
          <w:lang w:eastAsia="zh-CN"/>
          <w14:textFill>
            <w14:solidFill>
              <w14:schemeClr w14:val="tx1"/>
            </w14:solidFill>
          </w14:textFill>
        </w:rPr>
        <w:t>2.</w:t>
      </w:r>
      <w:r>
        <w:rPr>
          <w:rFonts w:hint="eastAsia" w:ascii="宋体" w:hAnsi="宋体" w:eastAsia="宋体"/>
          <w:color w:val="000000" w:themeColor="text1"/>
          <w:kern w:val="1"/>
          <w:sz w:val="24"/>
          <w:szCs w:val="24"/>
          <w:highlight w:val="none"/>
          <w14:textFill>
            <w14:solidFill>
              <w14:schemeClr w14:val="tx1"/>
            </w14:solidFill>
          </w14:textFill>
        </w:rPr>
        <w:t>3卫生器具的安装</w:t>
      </w:r>
      <w:bookmarkEnd w:id="3"/>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lang w:val="en-US" w:eastAsia="zh-CN"/>
          <w14:textFill>
            <w14:solidFill>
              <w14:schemeClr w14:val="tx1"/>
            </w14:solidFill>
          </w14:textFill>
        </w:rPr>
      </w:pPr>
      <w:r>
        <w:rPr>
          <w:rFonts w:hint="eastAsia" w:ascii="宋体" w:hAnsi="宋体" w:cs="宋体"/>
          <w:color w:val="000000" w:themeColor="text1"/>
          <w:kern w:val="1"/>
          <w:sz w:val="24"/>
          <w:szCs w:val="24"/>
          <w:highlight w:val="none"/>
          <w:lang w:val="en-US" w:eastAsia="zh-CN"/>
          <w14:textFill>
            <w14:solidFill>
              <w14:schemeClr w14:val="tx1"/>
            </w14:solidFill>
          </w14:textFill>
        </w:rPr>
        <w:t>本工程中，所有卫生洁具均采用节水型卫生洁具，其中坐便器冲洗水箱容积不大于6L。所有的开孔和预埋必须根据安博的标准选型并经过安博确认后，依据选型的尺寸进行开孔和预埋。洁具的选型后到货前必须与现场核实，避免现场无法安装。</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卫生间首先画出平面布置图，经审核无误后，做出样板后大面积施工，固定卫生间器具用木砖全部刷沥青漆，安装卫生器具的螺丝按国家标准图施工。</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卫生器具的安装必须牢固、平整，与器具接触紧密；位置正确，允许偏差：单独器具</w:t>
      </w:r>
      <w:r>
        <w:rPr>
          <w:rFonts w:ascii="宋体" w:hAnsi="宋体" w:cs="宋体"/>
          <w:color w:val="000000" w:themeColor="text1"/>
          <w:kern w:val="1"/>
          <w:sz w:val="24"/>
          <w:szCs w:val="24"/>
          <w:highlight w:val="none"/>
          <w14:textFill>
            <w14:solidFill>
              <w14:schemeClr w14:val="tx1"/>
            </w14:solidFill>
          </w14:textFill>
        </w:rPr>
        <w:t>10mm</w:t>
      </w:r>
      <w:r>
        <w:rPr>
          <w:rFonts w:hint="eastAsia" w:ascii="宋体" w:hAnsi="宋体" w:cs="宋体"/>
          <w:color w:val="000000" w:themeColor="text1"/>
          <w:kern w:val="1"/>
          <w:sz w:val="24"/>
          <w:szCs w:val="24"/>
          <w:highlight w:val="none"/>
          <w14:textFill>
            <w14:solidFill>
              <w14:schemeClr w14:val="tx1"/>
            </w14:solidFill>
          </w14:textFill>
        </w:rPr>
        <w:t>，成排器具</w:t>
      </w:r>
      <w:r>
        <w:rPr>
          <w:rFonts w:ascii="宋体" w:hAnsi="宋体" w:cs="宋体"/>
          <w:color w:val="000000" w:themeColor="text1"/>
          <w:kern w:val="1"/>
          <w:sz w:val="24"/>
          <w:szCs w:val="24"/>
          <w:highlight w:val="none"/>
          <w14:textFill>
            <w14:solidFill>
              <w14:schemeClr w14:val="tx1"/>
            </w14:solidFill>
          </w14:textFill>
        </w:rPr>
        <w:t>5mm</w:t>
      </w:r>
      <w:r>
        <w:rPr>
          <w:rFonts w:hint="eastAsia" w:ascii="宋体" w:hAnsi="宋体" w:cs="宋体"/>
          <w:color w:val="000000" w:themeColor="text1"/>
          <w:kern w:val="1"/>
          <w:sz w:val="24"/>
          <w:szCs w:val="24"/>
          <w:highlight w:val="none"/>
          <w14:textFill>
            <w14:solidFill>
              <w14:schemeClr w14:val="tx1"/>
            </w14:solidFill>
          </w14:textFill>
        </w:rPr>
        <w:t>；安装应平直，垂直度允许偏差不超过</w:t>
      </w:r>
      <w:r>
        <w:rPr>
          <w:rFonts w:ascii="宋体" w:hAnsi="宋体" w:cs="宋体"/>
          <w:color w:val="000000" w:themeColor="text1"/>
          <w:kern w:val="1"/>
          <w:sz w:val="24"/>
          <w:szCs w:val="24"/>
          <w:highlight w:val="none"/>
          <w14:textFill>
            <w14:solidFill>
              <w14:schemeClr w14:val="tx1"/>
            </w14:solidFill>
          </w14:textFill>
        </w:rPr>
        <w:t>3mm</w:t>
      </w:r>
      <w:r>
        <w:rPr>
          <w:rFonts w:hint="eastAsia" w:ascii="宋体" w:hAnsi="宋体" w:cs="宋体"/>
          <w:color w:val="000000" w:themeColor="text1"/>
          <w:kern w:val="1"/>
          <w:sz w:val="24"/>
          <w:szCs w:val="24"/>
          <w:highlight w:val="none"/>
          <w14:textFill>
            <w14:solidFill>
              <w14:schemeClr w14:val="tx1"/>
            </w14:solidFill>
          </w14:textFill>
        </w:rPr>
        <w:t>；安置高度如无设计要求</w:t>
      </w:r>
      <w:r>
        <w:rPr>
          <w:rFonts w:ascii="宋体" w:hAnsi="宋体" w:cs="宋体"/>
          <w:color w:val="000000" w:themeColor="text1"/>
          <w:kern w:val="1"/>
          <w:sz w:val="24"/>
          <w:szCs w:val="24"/>
          <w:highlight w:val="none"/>
          <w14:textFill>
            <w14:solidFill>
              <w14:schemeClr w14:val="tx1"/>
            </w14:solidFill>
          </w14:textFill>
        </w:rPr>
        <w:t xml:space="preserve"> </w:t>
      </w:r>
      <w:r>
        <w:rPr>
          <w:rFonts w:hint="eastAsia" w:ascii="宋体" w:hAnsi="宋体" w:cs="宋体"/>
          <w:color w:val="000000" w:themeColor="text1"/>
          <w:kern w:val="1"/>
          <w:sz w:val="24"/>
          <w:szCs w:val="24"/>
          <w:highlight w:val="none"/>
          <w14:textFill>
            <w14:solidFill>
              <w14:schemeClr w14:val="tx1"/>
            </w14:solidFill>
          </w14:textFill>
        </w:rPr>
        <w:t>按下表规定：（其允许偏差：单独器具±</w:t>
      </w:r>
      <w:r>
        <w:rPr>
          <w:rFonts w:ascii="宋体" w:hAnsi="宋体" w:cs="宋体"/>
          <w:color w:val="000000" w:themeColor="text1"/>
          <w:kern w:val="1"/>
          <w:sz w:val="24"/>
          <w:szCs w:val="24"/>
          <w:highlight w:val="none"/>
          <w14:textFill>
            <w14:solidFill>
              <w14:schemeClr w14:val="tx1"/>
            </w14:solidFill>
          </w14:textFill>
        </w:rPr>
        <w:t>10mm</w:t>
      </w:r>
      <w:r>
        <w:rPr>
          <w:rFonts w:hint="eastAsia" w:ascii="宋体" w:hAnsi="宋体" w:cs="宋体"/>
          <w:color w:val="000000" w:themeColor="text1"/>
          <w:kern w:val="1"/>
          <w:sz w:val="24"/>
          <w:szCs w:val="24"/>
          <w:highlight w:val="none"/>
          <w14:textFill>
            <w14:solidFill>
              <w14:schemeClr w14:val="tx1"/>
            </w14:solidFill>
          </w14:textFill>
        </w:rPr>
        <w:t>，成排器具±</w:t>
      </w:r>
      <w:r>
        <w:rPr>
          <w:rFonts w:ascii="宋体" w:hAnsi="宋体" w:cs="宋体"/>
          <w:color w:val="000000" w:themeColor="text1"/>
          <w:kern w:val="1"/>
          <w:sz w:val="24"/>
          <w:szCs w:val="24"/>
          <w:highlight w:val="none"/>
          <w14:textFill>
            <w14:solidFill>
              <w14:schemeClr w14:val="tx1"/>
            </w14:solidFill>
          </w14:textFill>
        </w:rPr>
        <w:t>5mm</w:t>
      </w:r>
      <w:r>
        <w:rPr>
          <w:rFonts w:hint="eastAsia" w:ascii="宋体" w:hAnsi="宋体" w:cs="宋体"/>
          <w:color w:val="000000" w:themeColor="text1"/>
          <w:kern w:val="1"/>
          <w:sz w:val="24"/>
          <w:szCs w:val="24"/>
          <w:highlight w:val="none"/>
          <w14:textFill>
            <w14:solidFill>
              <w14:schemeClr w14:val="tx1"/>
            </w14:solidFill>
          </w14:textFill>
        </w:rPr>
        <w:t>）。</w:t>
      </w:r>
    </w:p>
    <w:tbl>
      <w:tblPr>
        <w:tblStyle w:val="13"/>
        <w:tblW w:w="88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701"/>
        <w:gridCol w:w="1693"/>
        <w:gridCol w:w="1365"/>
        <w:gridCol w:w="2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jc w:val="center"/>
        </w:trPr>
        <w:tc>
          <w:tcPr>
            <w:tcW w:w="3372" w:type="dxa"/>
            <w:gridSpan w:val="2"/>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卫生器具名称</w:t>
            </w:r>
          </w:p>
        </w:tc>
        <w:tc>
          <w:tcPr>
            <w:tcW w:w="3058" w:type="dxa"/>
            <w:gridSpan w:val="2"/>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卫生器具高度</w:t>
            </w:r>
          </w:p>
        </w:tc>
        <w:tc>
          <w:tcPr>
            <w:tcW w:w="2467"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3372" w:type="dxa"/>
            <w:gridSpan w:val="2"/>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16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居住和公共</w:t>
            </w:r>
          </w:p>
        </w:tc>
        <w:tc>
          <w:tcPr>
            <w:tcW w:w="136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幼儿园</w:t>
            </w:r>
          </w:p>
        </w:tc>
        <w:tc>
          <w:tcPr>
            <w:tcW w:w="2467"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71" w:type="dxa"/>
            <w:vMerge w:val="restart"/>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污水盆（池）</w:t>
            </w:r>
          </w:p>
        </w:tc>
        <w:tc>
          <w:tcPr>
            <w:tcW w:w="1701"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架空式</w:t>
            </w:r>
          </w:p>
        </w:tc>
        <w:tc>
          <w:tcPr>
            <w:tcW w:w="16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800</w:t>
            </w:r>
          </w:p>
        </w:tc>
        <w:tc>
          <w:tcPr>
            <w:tcW w:w="136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800</w:t>
            </w:r>
          </w:p>
        </w:tc>
        <w:tc>
          <w:tcPr>
            <w:tcW w:w="2467" w:type="dxa"/>
            <w:vMerge w:val="restart"/>
            <w:tcBorders>
              <w:bottom w:val="nil"/>
            </w:tcBorders>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自地面到器具边缘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71"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1701"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落地式</w:t>
            </w:r>
          </w:p>
        </w:tc>
        <w:tc>
          <w:tcPr>
            <w:tcW w:w="16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500</w:t>
            </w:r>
          </w:p>
        </w:tc>
        <w:tc>
          <w:tcPr>
            <w:tcW w:w="136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500</w:t>
            </w:r>
          </w:p>
        </w:tc>
        <w:tc>
          <w:tcPr>
            <w:tcW w:w="2467"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372" w:type="dxa"/>
            <w:gridSpan w:val="2"/>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洗涤池（盆）</w:t>
            </w:r>
          </w:p>
        </w:tc>
        <w:tc>
          <w:tcPr>
            <w:tcW w:w="16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800</w:t>
            </w:r>
          </w:p>
        </w:tc>
        <w:tc>
          <w:tcPr>
            <w:tcW w:w="136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800</w:t>
            </w:r>
          </w:p>
        </w:tc>
        <w:tc>
          <w:tcPr>
            <w:tcW w:w="2467"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372" w:type="dxa"/>
            <w:gridSpan w:val="2"/>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洗脸盆洗手盆</w:t>
            </w:r>
          </w:p>
        </w:tc>
        <w:tc>
          <w:tcPr>
            <w:tcW w:w="16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800</w:t>
            </w:r>
          </w:p>
        </w:tc>
        <w:tc>
          <w:tcPr>
            <w:tcW w:w="136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500</w:t>
            </w:r>
          </w:p>
        </w:tc>
        <w:tc>
          <w:tcPr>
            <w:tcW w:w="2467"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372" w:type="dxa"/>
            <w:gridSpan w:val="2"/>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盥洗槽</w:t>
            </w:r>
          </w:p>
        </w:tc>
        <w:tc>
          <w:tcPr>
            <w:tcW w:w="16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800</w:t>
            </w:r>
          </w:p>
        </w:tc>
        <w:tc>
          <w:tcPr>
            <w:tcW w:w="136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500</w:t>
            </w:r>
          </w:p>
        </w:tc>
        <w:tc>
          <w:tcPr>
            <w:tcW w:w="2467"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71" w:type="dxa"/>
            <w:vMerge w:val="restart"/>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蹲式大便器</w:t>
            </w:r>
          </w:p>
        </w:tc>
        <w:tc>
          <w:tcPr>
            <w:tcW w:w="1701"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高水箱</w:t>
            </w:r>
          </w:p>
        </w:tc>
        <w:tc>
          <w:tcPr>
            <w:tcW w:w="16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1800</w:t>
            </w:r>
          </w:p>
        </w:tc>
        <w:tc>
          <w:tcPr>
            <w:tcW w:w="136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1800</w:t>
            </w:r>
          </w:p>
        </w:tc>
        <w:tc>
          <w:tcPr>
            <w:tcW w:w="2467"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自地面至水箱底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71"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1701"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底水箱</w:t>
            </w:r>
          </w:p>
        </w:tc>
        <w:tc>
          <w:tcPr>
            <w:tcW w:w="16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900</w:t>
            </w:r>
          </w:p>
        </w:tc>
        <w:tc>
          <w:tcPr>
            <w:tcW w:w="136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900</w:t>
            </w:r>
          </w:p>
        </w:tc>
        <w:tc>
          <w:tcPr>
            <w:tcW w:w="2467"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71" w:type="dxa"/>
            <w:vMerge w:val="restart"/>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坐式大便器</w:t>
            </w:r>
          </w:p>
        </w:tc>
        <w:tc>
          <w:tcPr>
            <w:tcW w:w="1701"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高水箱</w:t>
            </w:r>
          </w:p>
        </w:tc>
        <w:tc>
          <w:tcPr>
            <w:tcW w:w="16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1800</w:t>
            </w:r>
          </w:p>
        </w:tc>
        <w:tc>
          <w:tcPr>
            <w:tcW w:w="136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1800</w:t>
            </w:r>
          </w:p>
        </w:tc>
        <w:tc>
          <w:tcPr>
            <w:tcW w:w="2467"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71"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1701"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底水箱外排式</w:t>
            </w:r>
          </w:p>
        </w:tc>
        <w:tc>
          <w:tcPr>
            <w:tcW w:w="16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510</w:t>
            </w:r>
          </w:p>
        </w:tc>
        <w:tc>
          <w:tcPr>
            <w:tcW w:w="136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w:t>
            </w:r>
          </w:p>
        </w:tc>
        <w:tc>
          <w:tcPr>
            <w:tcW w:w="2467"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71"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1701"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底水箱虹吸式</w:t>
            </w:r>
          </w:p>
        </w:tc>
        <w:tc>
          <w:tcPr>
            <w:tcW w:w="16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470</w:t>
            </w:r>
          </w:p>
        </w:tc>
        <w:tc>
          <w:tcPr>
            <w:tcW w:w="136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370</w:t>
            </w:r>
          </w:p>
        </w:tc>
        <w:tc>
          <w:tcPr>
            <w:tcW w:w="2467"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71"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小便器</w:t>
            </w:r>
          </w:p>
        </w:tc>
        <w:tc>
          <w:tcPr>
            <w:tcW w:w="1701"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立式</w:t>
            </w:r>
          </w:p>
        </w:tc>
        <w:tc>
          <w:tcPr>
            <w:tcW w:w="16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1000</w:t>
            </w:r>
          </w:p>
        </w:tc>
        <w:tc>
          <w:tcPr>
            <w:tcW w:w="136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w:t>
            </w:r>
          </w:p>
        </w:tc>
        <w:tc>
          <w:tcPr>
            <w:tcW w:w="2467" w:type="dxa"/>
            <w:vMerge w:val="restart"/>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自地面至上边缘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71"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1701"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挂式</w:t>
            </w:r>
          </w:p>
        </w:tc>
        <w:tc>
          <w:tcPr>
            <w:tcW w:w="16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600</w:t>
            </w:r>
          </w:p>
        </w:tc>
        <w:tc>
          <w:tcPr>
            <w:tcW w:w="136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450</w:t>
            </w:r>
          </w:p>
        </w:tc>
        <w:tc>
          <w:tcPr>
            <w:tcW w:w="2467"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72" w:type="dxa"/>
            <w:gridSpan w:val="2"/>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小便槽</w:t>
            </w:r>
          </w:p>
        </w:tc>
        <w:tc>
          <w:tcPr>
            <w:tcW w:w="1693"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200</w:t>
            </w:r>
          </w:p>
        </w:tc>
        <w:tc>
          <w:tcPr>
            <w:tcW w:w="1365"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150</w:t>
            </w:r>
          </w:p>
        </w:tc>
        <w:tc>
          <w:tcPr>
            <w:tcW w:w="2467"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自地面至台阶面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372" w:type="dxa"/>
            <w:gridSpan w:val="2"/>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大便槽冲水箱</w:t>
            </w:r>
          </w:p>
        </w:tc>
        <w:tc>
          <w:tcPr>
            <w:tcW w:w="3058" w:type="dxa"/>
            <w:gridSpan w:val="2"/>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不低于</w:t>
            </w:r>
            <w:r>
              <w:rPr>
                <w:rFonts w:ascii="宋体" w:hAnsi="宋体" w:cs="宋体"/>
                <w:color w:val="000000" w:themeColor="text1"/>
                <w:kern w:val="1"/>
                <w:sz w:val="24"/>
                <w:szCs w:val="24"/>
                <w:highlight w:val="none"/>
                <w14:textFill>
                  <w14:solidFill>
                    <w14:schemeClr w14:val="tx1"/>
                  </w14:solidFill>
                </w14:textFill>
              </w:rPr>
              <w:t>2000</w:t>
            </w:r>
          </w:p>
        </w:tc>
        <w:tc>
          <w:tcPr>
            <w:tcW w:w="2467"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自台阶至水箱底</w:t>
            </w:r>
          </w:p>
        </w:tc>
      </w:tr>
    </w:tbl>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卫生器具的陶瓷件与支架接触平衡妥帖，必要时加软垫。如陶瓷直接用螺栓或膨胀螺栓固定在墙上时，螺栓加软垫圈，拧紧螺栓不得用力过猛，以免陶瓷破裂。</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管道或附件与卫生器具的陶瓷件连接处，垫以胶皮、油灰等填料。</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装设冷水和热水龙头的卫生器具，冷水龙头安装在右手侧，热水龙头在左手侧。</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安装各种规格大便器，根据各种大便器的说明书进行安装。</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地漏安装在地面的最低处，其平顶面应低于设置处地面</w:t>
      </w:r>
      <w:r>
        <w:rPr>
          <w:rFonts w:ascii="宋体" w:hAnsi="宋体" w:cs="宋体"/>
          <w:color w:val="000000" w:themeColor="text1"/>
          <w:kern w:val="1"/>
          <w:sz w:val="24"/>
          <w:szCs w:val="24"/>
          <w:highlight w:val="none"/>
          <w14:textFill>
            <w14:solidFill>
              <w14:schemeClr w14:val="tx1"/>
            </w14:solidFill>
          </w14:textFill>
        </w:rPr>
        <w:t>5mm</w:t>
      </w:r>
      <w:r>
        <w:rPr>
          <w:rFonts w:hint="eastAsia" w:ascii="宋体" w:hAnsi="宋体" w:cs="宋体"/>
          <w:color w:val="000000" w:themeColor="text1"/>
          <w:kern w:val="1"/>
          <w:sz w:val="24"/>
          <w:szCs w:val="24"/>
          <w:highlight w:val="none"/>
          <w14:textFill>
            <w14:solidFill>
              <w14:schemeClr w14:val="tx1"/>
            </w14:solidFill>
          </w14:textFill>
        </w:rPr>
        <w:t>。</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卫生器具安装及给水配件标高允许偏差见下表：</w:t>
      </w:r>
    </w:p>
    <w:tbl>
      <w:tblPr>
        <w:tblStyle w:val="13"/>
        <w:tblW w:w="86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3593"/>
        <w:gridCol w:w="212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08" w:type="dxa"/>
            <w:gridSpan w:val="2"/>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项</w:t>
            </w:r>
            <w:r>
              <w:rPr>
                <w:rFonts w:ascii="宋体" w:hAnsi="宋体" w:cs="宋体"/>
                <w:color w:val="000000" w:themeColor="text1"/>
                <w:kern w:val="1"/>
                <w:sz w:val="24"/>
                <w:szCs w:val="24"/>
                <w:highlight w:val="none"/>
                <w14:textFill>
                  <w14:solidFill>
                    <w14:schemeClr w14:val="tx1"/>
                  </w14:solidFill>
                </w14:textFill>
              </w:rPr>
              <w:t xml:space="preserve">      </w:t>
            </w:r>
            <w:r>
              <w:rPr>
                <w:rFonts w:hint="eastAsia" w:ascii="宋体" w:hAnsi="宋体" w:cs="宋体"/>
                <w:color w:val="000000" w:themeColor="text1"/>
                <w:kern w:val="1"/>
                <w:sz w:val="24"/>
                <w:szCs w:val="24"/>
                <w:highlight w:val="none"/>
                <w14:textFill>
                  <w14:solidFill>
                    <w14:schemeClr w14:val="tx1"/>
                  </w14:solidFill>
                </w14:textFill>
              </w:rPr>
              <w:t>目</w:t>
            </w:r>
          </w:p>
        </w:tc>
        <w:tc>
          <w:tcPr>
            <w:tcW w:w="212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允许偏差（</w:t>
            </w:r>
            <w:r>
              <w:rPr>
                <w:rFonts w:ascii="宋体" w:hAnsi="宋体" w:cs="宋体"/>
                <w:color w:val="000000" w:themeColor="text1"/>
                <w:kern w:val="1"/>
                <w:sz w:val="24"/>
                <w:szCs w:val="24"/>
                <w:highlight w:val="none"/>
                <w14:textFill>
                  <w14:solidFill>
                    <w14:schemeClr w14:val="tx1"/>
                  </w14:solidFill>
                </w14:textFill>
              </w:rPr>
              <w:t>mm</w:t>
            </w:r>
            <w:r>
              <w:rPr>
                <w:rFonts w:hint="eastAsia" w:ascii="宋体" w:hAnsi="宋体" w:cs="宋体"/>
                <w:color w:val="000000" w:themeColor="text1"/>
                <w:kern w:val="1"/>
                <w:sz w:val="24"/>
                <w:szCs w:val="24"/>
                <w:highlight w:val="none"/>
                <w14:textFill>
                  <w14:solidFill>
                    <w14:schemeClr w14:val="tx1"/>
                  </w14:solidFill>
                </w14:textFill>
              </w:rPr>
              <w:t>）</w:t>
            </w:r>
          </w:p>
        </w:tc>
        <w:tc>
          <w:tcPr>
            <w:tcW w:w="168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15"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坐标</w:t>
            </w:r>
          </w:p>
        </w:tc>
        <w:tc>
          <w:tcPr>
            <w:tcW w:w="35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单独器具</w:t>
            </w:r>
          </w:p>
        </w:tc>
        <w:tc>
          <w:tcPr>
            <w:tcW w:w="2125" w:type="dxa"/>
            <w:vAlign w:val="top"/>
          </w:tcPr>
          <w:p>
            <w:pPr>
              <w:pageBreakBefore w:val="0"/>
              <w:kinsoku/>
              <w:wordWrap/>
              <w:overflowPunct/>
              <w:topLinePunct w:val="0"/>
              <w:autoSpaceDE/>
              <w:autoSpaceDN/>
              <w:bidi w:val="0"/>
              <w:spacing w:line="528" w:lineRule="auto"/>
              <w:ind w:right="0" w:rightChars="0"/>
              <w:jc w:val="center"/>
              <w:textAlignment w:val="auto"/>
              <w:rPr>
                <w:rFonts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10</w:t>
            </w:r>
          </w:p>
        </w:tc>
        <w:tc>
          <w:tcPr>
            <w:tcW w:w="1680"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尺</w:t>
            </w:r>
          </w:p>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量</w:t>
            </w:r>
          </w:p>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检</w:t>
            </w:r>
          </w:p>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15"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35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成排器具</w:t>
            </w:r>
          </w:p>
        </w:tc>
        <w:tc>
          <w:tcPr>
            <w:tcW w:w="2125" w:type="dxa"/>
            <w:vAlign w:val="top"/>
          </w:tcPr>
          <w:p>
            <w:pPr>
              <w:pageBreakBefore w:val="0"/>
              <w:kinsoku/>
              <w:wordWrap/>
              <w:overflowPunct/>
              <w:topLinePunct w:val="0"/>
              <w:autoSpaceDE/>
              <w:autoSpaceDN/>
              <w:bidi w:val="0"/>
              <w:spacing w:line="528" w:lineRule="auto"/>
              <w:ind w:right="0" w:rightChars="0"/>
              <w:jc w:val="center"/>
              <w:textAlignment w:val="auto"/>
              <w:rPr>
                <w:rFonts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5</w:t>
            </w:r>
          </w:p>
        </w:tc>
        <w:tc>
          <w:tcPr>
            <w:tcW w:w="1680" w:type="dxa"/>
            <w:vMerge w:val="continue"/>
            <w:vAlign w:val="top"/>
          </w:tcPr>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15"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标高</w:t>
            </w:r>
          </w:p>
        </w:tc>
        <w:tc>
          <w:tcPr>
            <w:tcW w:w="35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单独器具</w:t>
            </w:r>
          </w:p>
        </w:tc>
        <w:tc>
          <w:tcPr>
            <w:tcW w:w="2125" w:type="dxa"/>
            <w:vAlign w:val="top"/>
          </w:tcPr>
          <w:p>
            <w:pPr>
              <w:pageBreakBefore w:val="0"/>
              <w:kinsoku/>
              <w:wordWrap/>
              <w:overflowPunct/>
              <w:topLinePunct w:val="0"/>
              <w:autoSpaceDE/>
              <w:autoSpaceDN/>
              <w:bidi w:val="0"/>
              <w:spacing w:line="528" w:lineRule="auto"/>
              <w:ind w:right="0" w:rightChars="0"/>
              <w:jc w:val="center"/>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t>15</w:t>
            </w:r>
          </w:p>
        </w:tc>
        <w:tc>
          <w:tcPr>
            <w:tcW w:w="1680" w:type="dxa"/>
            <w:vMerge w:val="continue"/>
            <w:vAlign w:val="top"/>
          </w:tcPr>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15" w:type="dxa"/>
            <w:vMerge w:val="continue"/>
            <w:vAlign w:val="top"/>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3593"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成排器具</w:t>
            </w:r>
          </w:p>
        </w:tc>
        <w:tc>
          <w:tcPr>
            <w:tcW w:w="2125" w:type="dxa"/>
            <w:vAlign w:val="top"/>
          </w:tcPr>
          <w:p>
            <w:pPr>
              <w:pageBreakBefore w:val="0"/>
              <w:kinsoku/>
              <w:wordWrap/>
              <w:overflowPunct/>
              <w:topLinePunct w:val="0"/>
              <w:autoSpaceDE/>
              <w:autoSpaceDN/>
              <w:bidi w:val="0"/>
              <w:spacing w:line="528" w:lineRule="auto"/>
              <w:ind w:right="0" w:rightChars="0"/>
              <w:jc w:val="center"/>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t>10</w:t>
            </w:r>
          </w:p>
        </w:tc>
        <w:tc>
          <w:tcPr>
            <w:tcW w:w="1680" w:type="dxa"/>
            <w:vMerge w:val="continue"/>
            <w:vAlign w:val="top"/>
          </w:tcPr>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808" w:type="dxa"/>
            <w:gridSpan w:val="2"/>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器具水平度</w:t>
            </w:r>
          </w:p>
        </w:tc>
        <w:tc>
          <w:tcPr>
            <w:tcW w:w="2125" w:type="dxa"/>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2</w:t>
            </w:r>
          </w:p>
        </w:tc>
        <w:tc>
          <w:tcPr>
            <w:tcW w:w="1680" w:type="dxa"/>
            <w:vMerge w:val="continue"/>
            <w:vAlign w:val="top"/>
          </w:tcPr>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808" w:type="dxa"/>
            <w:gridSpan w:val="2"/>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器具垂直度</w:t>
            </w:r>
          </w:p>
        </w:tc>
        <w:tc>
          <w:tcPr>
            <w:tcW w:w="2125" w:type="dxa"/>
            <w:vAlign w:val="top"/>
          </w:tcPr>
          <w:p>
            <w:pPr>
              <w:pageBreakBefore w:val="0"/>
              <w:kinsoku/>
              <w:wordWrap/>
              <w:overflowPunct/>
              <w:topLinePunct w:val="0"/>
              <w:autoSpaceDE/>
              <w:autoSpaceDN/>
              <w:bidi w:val="0"/>
              <w:spacing w:line="528" w:lineRule="auto"/>
              <w:ind w:right="0" w:rightChars="0"/>
              <w:jc w:val="center"/>
              <w:textAlignment w:val="auto"/>
              <w:rPr>
                <w:rFonts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3</w:t>
            </w:r>
          </w:p>
        </w:tc>
        <w:tc>
          <w:tcPr>
            <w:tcW w:w="1680" w:type="dxa"/>
            <w:vMerge w:val="continue"/>
            <w:vAlign w:val="top"/>
          </w:tcPr>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808" w:type="dxa"/>
            <w:gridSpan w:val="2"/>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大便器高、低水箱角阀及截止阀</w:t>
            </w:r>
          </w:p>
        </w:tc>
        <w:tc>
          <w:tcPr>
            <w:tcW w:w="2125" w:type="dxa"/>
            <w:vAlign w:val="top"/>
          </w:tcPr>
          <w:p>
            <w:pPr>
              <w:pageBreakBefore w:val="0"/>
              <w:kinsoku/>
              <w:wordWrap/>
              <w:overflowPunct/>
              <w:topLinePunct w:val="0"/>
              <w:autoSpaceDE/>
              <w:autoSpaceDN/>
              <w:bidi w:val="0"/>
              <w:spacing w:line="528" w:lineRule="auto"/>
              <w:ind w:right="0" w:rightChars="0"/>
              <w:jc w:val="center"/>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t>10</w:t>
            </w:r>
          </w:p>
        </w:tc>
        <w:tc>
          <w:tcPr>
            <w:tcW w:w="1680" w:type="dxa"/>
            <w:vMerge w:val="continue"/>
            <w:vAlign w:val="top"/>
          </w:tcPr>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808" w:type="dxa"/>
            <w:gridSpan w:val="2"/>
            <w:vAlign w:val="top"/>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水龙头</w:t>
            </w:r>
          </w:p>
        </w:tc>
        <w:tc>
          <w:tcPr>
            <w:tcW w:w="2125" w:type="dxa"/>
            <w:vAlign w:val="top"/>
          </w:tcPr>
          <w:p>
            <w:pPr>
              <w:pageBreakBefore w:val="0"/>
              <w:kinsoku/>
              <w:wordWrap/>
              <w:overflowPunct/>
              <w:topLinePunct w:val="0"/>
              <w:autoSpaceDE/>
              <w:autoSpaceDN/>
              <w:bidi w:val="0"/>
              <w:spacing w:line="528" w:lineRule="auto"/>
              <w:ind w:right="0" w:rightChars="0"/>
              <w:jc w:val="center"/>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t>10</w:t>
            </w:r>
          </w:p>
        </w:tc>
        <w:tc>
          <w:tcPr>
            <w:tcW w:w="1680" w:type="dxa"/>
            <w:vMerge w:val="continue"/>
            <w:vAlign w:val="top"/>
          </w:tcPr>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tc>
      </w:tr>
    </w:tbl>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阀门安装：安装前仔细检查，核对阀门的型号、规格是否符合设计要求，根据阀门的型号和出厂说明书，检查其是否可以在所要求的条件下应用，并且按设计和规范进行试压，检查填料及压盖螺栓，必须有足够的调节余量，并要检查阀杆是否转动灵活，有无卡涩现象和歪斜情况。阀门耐压强度实验按</w:t>
      </w:r>
      <w:r>
        <w:rPr>
          <w:rFonts w:ascii="宋体" w:hAnsi="宋体" w:cs="宋体"/>
          <w:color w:val="000000" w:themeColor="text1"/>
          <w:kern w:val="1"/>
          <w:sz w:val="24"/>
          <w:szCs w:val="24"/>
          <w:highlight w:val="none"/>
          <w14:textFill>
            <w14:solidFill>
              <w14:schemeClr w14:val="tx1"/>
            </w14:solidFill>
          </w14:textFill>
        </w:rPr>
        <w:t>GBJ242---82</w:t>
      </w:r>
      <w:r>
        <w:rPr>
          <w:rFonts w:hint="eastAsia" w:ascii="宋体" w:hAnsi="宋体" w:cs="宋体"/>
          <w:color w:val="000000" w:themeColor="text1"/>
          <w:kern w:val="1"/>
          <w:sz w:val="24"/>
          <w:szCs w:val="24"/>
          <w:highlight w:val="none"/>
          <w14:textFill>
            <w14:solidFill>
              <w14:schemeClr w14:val="tx1"/>
            </w14:solidFill>
          </w14:textFill>
        </w:rPr>
        <w:t>第</w:t>
      </w:r>
      <w:r>
        <w:rPr>
          <w:rFonts w:ascii="宋体" w:hAnsi="宋体" w:cs="宋体"/>
          <w:color w:val="000000" w:themeColor="text1"/>
          <w:kern w:val="1"/>
          <w:sz w:val="24"/>
          <w:szCs w:val="24"/>
          <w:highlight w:val="none"/>
          <w14:textFill>
            <w14:solidFill>
              <w14:schemeClr w14:val="tx1"/>
            </w14:solidFill>
          </w14:textFill>
        </w:rPr>
        <w:t>2.0.14</w:t>
      </w:r>
      <w:r>
        <w:rPr>
          <w:rFonts w:hint="eastAsia" w:ascii="宋体" w:hAnsi="宋体" w:cs="宋体"/>
          <w:color w:val="000000" w:themeColor="text1"/>
          <w:kern w:val="1"/>
          <w:sz w:val="24"/>
          <w:szCs w:val="24"/>
          <w:highlight w:val="none"/>
          <w14:textFill>
            <w14:solidFill>
              <w14:schemeClr w14:val="tx1"/>
            </w14:solidFill>
          </w14:textFill>
        </w:rPr>
        <w:t>条执行。</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总之．卫生器具安装的共同要求，就是平、稳、准、牢、不漏、使用方便、性能良好。</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平：就是同一房间同种器具上边缘要水平。</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牢：就是安装牢固，无脱落松动现象。</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准：就是卫生器具平面位置和高度尺寸正确，特别是同类器具要整齐美观。</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不漏：即卫生器具上、下水管连接严密不漏。</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使用方便：即零部件布局合理，阀门及手柄的位置、朝向合理</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性能良好：就是阀门、水嘴使用灵活，管内畅通；卫生器具的排出设置存水弯，阻止下水道中的污浊气体返回室内。</w:t>
      </w:r>
    </w:p>
    <w:p>
      <w:pPr>
        <w:pStyle w:val="3"/>
        <w:keepNext w:val="0"/>
        <w:pageBreakBefore w:val="0"/>
        <w:kinsoku/>
        <w:wordWrap/>
        <w:overflowPunct/>
        <w:topLinePunct w:val="0"/>
        <w:autoSpaceDE/>
        <w:autoSpaceDN/>
        <w:bidi w:val="0"/>
        <w:spacing w:line="528" w:lineRule="auto"/>
        <w:ind w:right="0" w:rightChars="0"/>
        <w:textAlignment w:val="auto"/>
        <w:rPr>
          <w:rFonts w:ascii="宋体" w:hAnsi="宋体" w:eastAsia="宋体"/>
          <w:color w:val="000000" w:themeColor="text1"/>
          <w:kern w:val="1"/>
          <w:sz w:val="24"/>
          <w:szCs w:val="24"/>
          <w:highlight w:val="none"/>
          <w14:textFill>
            <w14:solidFill>
              <w14:schemeClr w14:val="tx1"/>
            </w14:solidFill>
          </w14:textFill>
        </w:rPr>
      </w:pPr>
      <w:bookmarkStart w:id="4" w:name="_Toc446494750"/>
      <w:r>
        <w:rPr>
          <w:rFonts w:hint="eastAsia" w:ascii="宋体" w:hAnsi="宋体" w:eastAsia="宋体"/>
          <w:color w:val="000000" w:themeColor="text1"/>
          <w:kern w:val="1"/>
          <w:sz w:val="24"/>
          <w:szCs w:val="24"/>
          <w:highlight w:val="none"/>
          <w:lang w:eastAsia="zh-CN"/>
          <w14:textFill>
            <w14:solidFill>
              <w14:schemeClr w14:val="tx1"/>
            </w14:solidFill>
          </w14:textFill>
        </w:rPr>
        <w:t>2.</w:t>
      </w:r>
      <w:r>
        <w:rPr>
          <w:rFonts w:hint="eastAsia" w:ascii="宋体" w:hAnsi="宋体" w:eastAsia="宋体"/>
          <w:color w:val="000000" w:themeColor="text1"/>
          <w:kern w:val="1"/>
          <w:sz w:val="24"/>
          <w:szCs w:val="24"/>
          <w:highlight w:val="none"/>
          <w14:textFill>
            <w14:solidFill>
              <w14:schemeClr w14:val="tx1"/>
            </w14:solidFill>
          </w14:textFill>
        </w:rPr>
        <w:t>4各类支架的制作与安装</w:t>
      </w:r>
      <w:bookmarkEnd w:id="4"/>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1、加工前先画出加工大样图，再制作，孔眼用钻床，严禁用气焊、电焊冲眼代替。</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2、管道不允许有任何位移的部位，设置固定支架牢固，固定在可靠拉挂钩上，在管道无垂直位移，或位移很小的地方，可设活动支架，保证支架的耐用、美观。</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3、支、吊、托架位置准确，埋设牢固，与管道接触紧密，不影响结构的安全。</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4、立管卡安装：层高小于等于5</w:t>
      </w:r>
      <w:r>
        <w:rPr>
          <w:rFonts w:ascii="宋体" w:hAnsi="宋体" w:cs="宋体"/>
          <w:color w:val="000000" w:themeColor="text1"/>
          <w:kern w:val="1"/>
          <w:sz w:val="24"/>
          <w:szCs w:val="24"/>
          <w:highlight w:val="none"/>
          <w14:textFill>
            <w14:solidFill>
              <w14:schemeClr w14:val="tx1"/>
            </w14:solidFill>
          </w14:textFill>
        </w:rPr>
        <w:t>M</w:t>
      </w:r>
      <w:r>
        <w:rPr>
          <w:rFonts w:hint="eastAsia" w:ascii="宋体" w:hAnsi="宋体" w:cs="宋体"/>
          <w:color w:val="000000" w:themeColor="text1"/>
          <w:kern w:val="1"/>
          <w:sz w:val="24"/>
          <w:szCs w:val="24"/>
          <w:highlight w:val="none"/>
          <w14:textFill>
            <w14:solidFill>
              <w14:schemeClr w14:val="tx1"/>
            </w14:solidFill>
          </w14:textFill>
        </w:rPr>
        <w:t>，每层安装</w:t>
      </w:r>
      <w:r>
        <w:rPr>
          <w:rFonts w:ascii="宋体" w:hAnsi="宋体" w:cs="宋体"/>
          <w:color w:val="000000" w:themeColor="text1"/>
          <w:kern w:val="1"/>
          <w:sz w:val="24"/>
          <w:szCs w:val="24"/>
          <w:highlight w:val="none"/>
          <w14:textFill>
            <w14:solidFill>
              <w14:schemeClr w14:val="tx1"/>
            </w14:solidFill>
          </w14:textFill>
        </w:rPr>
        <w:t>1</w:t>
      </w:r>
      <w:r>
        <w:rPr>
          <w:rFonts w:hint="eastAsia" w:ascii="宋体" w:hAnsi="宋体" w:cs="宋体"/>
          <w:color w:val="000000" w:themeColor="text1"/>
          <w:kern w:val="1"/>
          <w:sz w:val="24"/>
          <w:szCs w:val="24"/>
          <w:highlight w:val="none"/>
          <w14:textFill>
            <w14:solidFill>
              <w14:schemeClr w14:val="tx1"/>
            </w14:solidFill>
          </w14:textFill>
        </w:rPr>
        <w:t>个，距地面为</w:t>
      </w:r>
      <w:r>
        <w:rPr>
          <w:rFonts w:ascii="宋体" w:hAnsi="宋体" w:cs="宋体"/>
          <w:color w:val="000000" w:themeColor="text1"/>
          <w:kern w:val="1"/>
          <w:sz w:val="24"/>
          <w:szCs w:val="24"/>
          <w:highlight w:val="none"/>
          <w14:textFill>
            <w14:solidFill>
              <w14:schemeClr w14:val="tx1"/>
            </w14:solidFill>
          </w14:textFill>
        </w:rPr>
        <w:t>1</w:t>
      </w:r>
      <w:r>
        <w:rPr>
          <w:rFonts w:hint="eastAsia" w:ascii="宋体" w:hAnsi="宋体" w:cs="宋体"/>
          <w:color w:val="000000" w:themeColor="text1"/>
          <w:kern w:val="1"/>
          <w:sz w:val="24"/>
          <w:szCs w:val="24"/>
          <w:highlight w:val="none"/>
          <w14:textFill>
            <w14:solidFill>
              <w14:schemeClr w14:val="tx1"/>
            </w14:solidFill>
          </w14:textFill>
        </w:rPr>
        <w:t>．</w:t>
      </w:r>
      <w:r>
        <w:rPr>
          <w:rFonts w:ascii="宋体" w:hAnsi="宋体" w:cs="宋体"/>
          <w:color w:val="000000" w:themeColor="text1"/>
          <w:kern w:val="1"/>
          <w:sz w:val="24"/>
          <w:szCs w:val="24"/>
          <w:highlight w:val="none"/>
          <w14:textFill>
            <w14:solidFill>
              <w14:schemeClr w14:val="tx1"/>
            </w14:solidFill>
          </w14:textFill>
        </w:rPr>
        <w:t>5----1.8</w:t>
      </w:r>
      <w:r>
        <w:rPr>
          <w:rFonts w:hint="eastAsia" w:ascii="宋体" w:hAnsi="宋体" w:cs="宋体"/>
          <w:color w:val="000000" w:themeColor="text1"/>
          <w:kern w:val="1"/>
          <w:sz w:val="24"/>
          <w:szCs w:val="24"/>
          <w:highlight w:val="none"/>
          <w14:textFill>
            <w14:solidFill>
              <w14:schemeClr w14:val="tx1"/>
            </w14:solidFill>
          </w14:textFill>
        </w:rPr>
        <w:t>米；层高大于5M时，每层不小于</w:t>
      </w:r>
      <w:r>
        <w:rPr>
          <w:rFonts w:ascii="宋体" w:hAnsi="宋体" w:cs="宋体"/>
          <w:color w:val="000000" w:themeColor="text1"/>
          <w:kern w:val="1"/>
          <w:sz w:val="24"/>
          <w:szCs w:val="24"/>
          <w:highlight w:val="none"/>
          <w14:textFill>
            <w14:solidFill>
              <w14:schemeClr w14:val="tx1"/>
            </w14:solidFill>
          </w14:textFill>
        </w:rPr>
        <w:t>2</w:t>
      </w:r>
      <w:r>
        <w:rPr>
          <w:rFonts w:hint="eastAsia" w:ascii="宋体" w:hAnsi="宋体" w:cs="宋体"/>
          <w:color w:val="000000" w:themeColor="text1"/>
          <w:kern w:val="1"/>
          <w:sz w:val="24"/>
          <w:szCs w:val="24"/>
          <w:highlight w:val="none"/>
          <w14:textFill>
            <w14:solidFill>
              <w14:schemeClr w14:val="tx1"/>
            </w14:solidFill>
          </w14:textFill>
        </w:rPr>
        <w:t>个，管卡可均匀安装，成排管道或同一房间的主管管卡的安装高度保持一致。管道活动支架的最大间距可参见下表（单位：米）。</w:t>
      </w:r>
      <w:r>
        <w:rPr>
          <w:rFonts w:ascii="宋体" w:hAnsi="宋体" w:cs="宋体"/>
          <w:color w:val="000000" w:themeColor="text1"/>
          <w:kern w:val="1"/>
          <w:sz w:val="24"/>
          <w:szCs w:val="24"/>
          <w:highlight w:val="none"/>
          <w14:textFill>
            <w14:solidFill>
              <w14:schemeClr w14:val="tx1"/>
            </w14:solidFill>
          </w14:textFill>
        </w:rPr>
        <w:t xml:space="preserve">  </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p>
    <w:tbl>
      <w:tblPr>
        <w:tblStyle w:val="13"/>
        <w:tblW w:w="9088" w:type="dxa"/>
        <w:jc w:val="center"/>
        <w:tblInd w:w="-4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850"/>
        <w:gridCol w:w="610"/>
        <w:gridCol w:w="610"/>
        <w:gridCol w:w="610"/>
        <w:gridCol w:w="610"/>
        <w:gridCol w:w="610"/>
        <w:gridCol w:w="610"/>
        <w:gridCol w:w="610"/>
        <w:gridCol w:w="610"/>
        <w:gridCol w:w="610"/>
        <w:gridCol w:w="610"/>
        <w:gridCol w:w="610"/>
        <w:gridCol w:w="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67" w:type="dxa"/>
            <w:gridSpan w:val="2"/>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直径名称</w:t>
            </w:r>
          </w:p>
        </w:tc>
        <w:tc>
          <w:tcPr>
            <w:tcW w:w="61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15</w:t>
            </w:r>
          </w:p>
        </w:tc>
        <w:tc>
          <w:tcPr>
            <w:tcW w:w="61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20</w:t>
            </w:r>
          </w:p>
        </w:tc>
        <w:tc>
          <w:tcPr>
            <w:tcW w:w="61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25</w:t>
            </w:r>
          </w:p>
        </w:tc>
        <w:tc>
          <w:tcPr>
            <w:tcW w:w="61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32</w:t>
            </w:r>
          </w:p>
        </w:tc>
        <w:tc>
          <w:tcPr>
            <w:tcW w:w="61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40</w:t>
            </w:r>
          </w:p>
        </w:tc>
        <w:tc>
          <w:tcPr>
            <w:tcW w:w="61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50</w:t>
            </w:r>
          </w:p>
        </w:tc>
        <w:tc>
          <w:tcPr>
            <w:tcW w:w="61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65</w:t>
            </w:r>
          </w:p>
        </w:tc>
        <w:tc>
          <w:tcPr>
            <w:tcW w:w="61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80</w:t>
            </w:r>
          </w:p>
        </w:tc>
        <w:tc>
          <w:tcPr>
            <w:tcW w:w="61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100</w:t>
            </w:r>
          </w:p>
        </w:tc>
        <w:tc>
          <w:tcPr>
            <w:tcW w:w="61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125</w:t>
            </w:r>
          </w:p>
        </w:tc>
        <w:tc>
          <w:tcPr>
            <w:tcW w:w="61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150</w:t>
            </w:r>
          </w:p>
        </w:tc>
        <w:tc>
          <w:tcPr>
            <w:tcW w:w="611"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ascii="宋体" w:hAnsi="宋体" w:cs="宋体"/>
                <w:color w:val="000000" w:themeColor="text1"/>
                <w:kern w:val="1"/>
                <w:sz w:val="24"/>
                <w:szCs w:val="24"/>
                <w:highlight w:val="none"/>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917" w:type="dxa"/>
            <w:vMerge w:val="restart"/>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支架的最大距离</w:t>
            </w:r>
          </w:p>
        </w:tc>
        <w:tc>
          <w:tcPr>
            <w:tcW w:w="85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保温管</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1.5</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2</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2</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2.5</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3</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3</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4</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4</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4.5</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5</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6</w:t>
            </w:r>
          </w:p>
        </w:tc>
        <w:tc>
          <w:tcPr>
            <w:tcW w:w="611"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917" w:type="dxa"/>
            <w:vMerge w:val="continue"/>
            <w:vAlign w:val="center"/>
          </w:tcPr>
          <w:p>
            <w:pPr>
              <w:pageBreakBefore w:val="0"/>
              <w:kinsoku/>
              <w:wordWrap/>
              <w:overflowPunct/>
              <w:topLinePunct w:val="0"/>
              <w:autoSpaceDE/>
              <w:autoSpaceDN/>
              <w:bidi w:val="0"/>
              <w:spacing w:line="528" w:lineRule="auto"/>
              <w:ind w:right="0" w:rightChars="0" w:firstLine="480"/>
              <w:jc w:val="center"/>
              <w:textAlignment w:val="auto"/>
              <w:rPr>
                <w:rFonts w:hint="eastAsia" w:ascii="宋体" w:hAnsi="宋体" w:cs="宋体"/>
                <w:color w:val="000000" w:themeColor="text1"/>
                <w:kern w:val="1"/>
                <w:sz w:val="24"/>
                <w:szCs w:val="24"/>
                <w:highlight w:val="none"/>
                <w14:textFill>
                  <w14:solidFill>
                    <w14:schemeClr w14:val="tx1"/>
                  </w14:solidFill>
                </w14:textFill>
              </w:rPr>
            </w:pPr>
          </w:p>
        </w:tc>
        <w:tc>
          <w:tcPr>
            <w:tcW w:w="850" w:type="dxa"/>
            <w:vAlign w:val="center"/>
          </w:tcPr>
          <w:p>
            <w:pPr>
              <w:pageBreakBefore w:val="0"/>
              <w:kinsoku/>
              <w:wordWrap/>
              <w:overflowPunct/>
              <w:topLinePunct w:val="0"/>
              <w:autoSpaceDE/>
              <w:autoSpaceDN/>
              <w:bidi w:val="0"/>
              <w:spacing w:line="528" w:lineRule="auto"/>
              <w:ind w:right="0" w:rightChars="0"/>
              <w:jc w:val="center"/>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不保温管</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2.5</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3</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3.5</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4</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4.5</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5</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6</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6</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hint="eastAsia" w:cs="Courier New"/>
                <w:color w:val="000000" w:themeColor="text1"/>
                <w:sz w:val="24"/>
                <w:szCs w:val="24"/>
                <w:highlight w:val="none"/>
                <w:lang w:val="en-US" w:eastAsia="zh-CN"/>
                <w14:textFill>
                  <w14:solidFill>
                    <w14:schemeClr w14:val="tx1"/>
                  </w14:solidFill>
                </w14:textFill>
              </w:rPr>
              <w:t>2.</w:t>
            </w:r>
            <w:r>
              <w:rPr>
                <w:rFonts w:cs="Courier New"/>
                <w:color w:val="000000" w:themeColor="text1"/>
                <w:sz w:val="24"/>
                <w:szCs w:val="24"/>
                <w:highlight w:val="none"/>
                <w:lang w:val="en-US" w:eastAsia="zh-CN"/>
                <w14:textFill>
                  <w14:solidFill>
                    <w14:schemeClr w14:val="tx1"/>
                  </w14:solidFill>
                </w14:textFill>
              </w:rPr>
              <w:t>5</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7</w:t>
            </w:r>
          </w:p>
        </w:tc>
        <w:tc>
          <w:tcPr>
            <w:tcW w:w="610"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8</w:t>
            </w:r>
          </w:p>
        </w:tc>
        <w:tc>
          <w:tcPr>
            <w:tcW w:w="611" w:type="dxa"/>
            <w:vAlign w:val="center"/>
          </w:tcPr>
          <w:p>
            <w:pPr>
              <w:pStyle w:val="5"/>
              <w:pageBreakBefore w:val="0"/>
              <w:kinsoku/>
              <w:wordWrap/>
              <w:overflowPunct/>
              <w:topLinePunct w:val="0"/>
              <w:autoSpaceDE/>
              <w:autoSpaceDN/>
              <w:bidi w:val="0"/>
              <w:adjustRightInd w:val="0"/>
              <w:snapToGrid w:val="0"/>
              <w:spacing w:line="528" w:lineRule="auto"/>
              <w:ind w:left="-141" w:right="0" w:rightChars="0"/>
              <w:jc w:val="center"/>
              <w:textAlignment w:val="auto"/>
              <w:rPr>
                <w:rFonts w:hint="eastAsia" w:cs="Courier New"/>
                <w:color w:val="000000" w:themeColor="text1"/>
                <w:sz w:val="24"/>
                <w:szCs w:val="24"/>
                <w:highlight w:val="none"/>
                <w:lang w:val="en-US" w:eastAsia="zh-CN"/>
                <w14:textFill>
                  <w14:solidFill>
                    <w14:schemeClr w14:val="tx1"/>
                  </w14:solidFill>
                </w14:textFill>
              </w:rPr>
            </w:pPr>
            <w:r>
              <w:rPr>
                <w:rFonts w:cs="Courier New"/>
                <w:color w:val="000000" w:themeColor="text1"/>
                <w:sz w:val="24"/>
                <w:szCs w:val="24"/>
                <w:highlight w:val="none"/>
                <w:lang w:val="en-US" w:eastAsia="zh-CN"/>
                <w14:textFill>
                  <w14:solidFill>
                    <w14:schemeClr w14:val="tx1"/>
                  </w14:solidFill>
                </w14:textFill>
              </w:rPr>
              <w:t>9.5</w:t>
            </w:r>
          </w:p>
        </w:tc>
      </w:tr>
    </w:tbl>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5、各支管的管卡安装，一般在</w:t>
      </w:r>
      <w:r>
        <w:rPr>
          <w:rFonts w:ascii="宋体" w:hAnsi="宋体" w:cs="宋体"/>
          <w:color w:val="000000" w:themeColor="text1"/>
          <w:kern w:val="1"/>
          <w:sz w:val="24"/>
          <w:szCs w:val="24"/>
          <w:highlight w:val="none"/>
          <w14:textFill>
            <w14:solidFill>
              <w14:schemeClr w14:val="tx1"/>
            </w14:solidFill>
          </w14:textFill>
        </w:rPr>
        <w:t>1</w:t>
      </w:r>
      <w:r>
        <w:rPr>
          <w:rFonts w:hint="eastAsia" w:ascii="宋体" w:hAnsi="宋体" w:cs="宋体"/>
          <w:color w:val="000000" w:themeColor="text1"/>
          <w:kern w:val="1"/>
          <w:sz w:val="24"/>
          <w:szCs w:val="24"/>
          <w:highlight w:val="none"/>
          <w14:textFill>
            <w14:solidFill>
              <w14:schemeClr w14:val="tx1"/>
            </w14:solidFill>
          </w14:textFill>
        </w:rPr>
        <w:t>米以内的支管设置离弯头或三通中心</w:t>
      </w:r>
      <w:r>
        <w:rPr>
          <w:rFonts w:ascii="宋体" w:hAnsi="宋体" w:cs="宋体"/>
          <w:color w:val="000000" w:themeColor="text1"/>
          <w:kern w:val="1"/>
          <w:sz w:val="24"/>
          <w:szCs w:val="24"/>
          <w:highlight w:val="none"/>
          <w14:textFill>
            <w14:solidFill>
              <w14:schemeClr w14:val="tx1"/>
            </w14:solidFill>
          </w14:textFill>
        </w:rPr>
        <w:t>100mm</w:t>
      </w:r>
      <w:r>
        <w:rPr>
          <w:rFonts w:hint="eastAsia" w:ascii="宋体" w:hAnsi="宋体" w:cs="宋体"/>
          <w:color w:val="000000" w:themeColor="text1"/>
          <w:kern w:val="1"/>
          <w:sz w:val="24"/>
          <w:szCs w:val="24"/>
          <w:highlight w:val="none"/>
          <w14:textFill>
            <w14:solidFill>
              <w14:schemeClr w14:val="tx1"/>
            </w14:solidFill>
          </w14:textFill>
        </w:rPr>
        <w:t>处，</w:t>
      </w:r>
      <w:r>
        <w:rPr>
          <w:rFonts w:ascii="宋体" w:hAnsi="宋体" w:cs="宋体"/>
          <w:color w:val="000000" w:themeColor="text1"/>
          <w:kern w:val="1"/>
          <w:sz w:val="24"/>
          <w:szCs w:val="24"/>
          <w:highlight w:val="none"/>
          <w14:textFill>
            <w14:solidFill>
              <w14:schemeClr w14:val="tx1"/>
            </w14:solidFill>
          </w14:textFill>
        </w:rPr>
        <w:t>1</w:t>
      </w:r>
      <w:r>
        <w:rPr>
          <w:rFonts w:hint="eastAsia" w:ascii="宋体" w:hAnsi="宋体" w:cs="宋体"/>
          <w:color w:val="000000" w:themeColor="text1"/>
          <w:kern w:val="1"/>
          <w:sz w:val="24"/>
          <w:szCs w:val="24"/>
          <w:highlight w:val="none"/>
          <w14:textFill>
            <w14:solidFill>
              <w14:schemeClr w14:val="tx1"/>
            </w14:solidFill>
          </w14:textFill>
        </w:rPr>
        <w:t>米以上的支管设置在弯头或三通中心</w:t>
      </w:r>
      <w:r>
        <w:rPr>
          <w:rFonts w:ascii="宋体" w:hAnsi="宋体" w:cs="宋体"/>
          <w:color w:val="000000" w:themeColor="text1"/>
          <w:kern w:val="1"/>
          <w:sz w:val="24"/>
          <w:szCs w:val="24"/>
          <w:highlight w:val="none"/>
          <w14:textFill>
            <w14:solidFill>
              <w14:schemeClr w14:val="tx1"/>
            </w14:solidFill>
          </w14:textFill>
        </w:rPr>
        <w:t>150mm</w:t>
      </w:r>
      <w:r>
        <w:rPr>
          <w:rFonts w:hint="eastAsia" w:ascii="宋体" w:hAnsi="宋体" w:cs="宋体"/>
          <w:color w:val="000000" w:themeColor="text1"/>
          <w:kern w:val="1"/>
          <w:sz w:val="24"/>
          <w:szCs w:val="24"/>
          <w:highlight w:val="none"/>
          <w14:textFill>
            <w14:solidFill>
              <w14:schemeClr w14:val="tx1"/>
            </w14:solidFill>
          </w14:textFill>
        </w:rPr>
        <w:t>至</w:t>
      </w:r>
      <w:r>
        <w:rPr>
          <w:rFonts w:ascii="宋体" w:hAnsi="宋体" w:cs="宋体"/>
          <w:color w:val="000000" w:themeColor="text1"/>
          <w:kern w:val="1"/>
          <w:sz w:val="24"/>
          <w:szCs w:val="24"/>
          <w:highlight w:val="none"/>
          <w14:textFill>
            <w14:solidFill>
              <w14:schemeClr w14:val="tx1"/>
            </w14:solidFill>
          </w14:textFill>
        </w:rPr>
        <w:t>200mm</w:t>
      </w:r>
      <w:r>
        <w:rPr>
          <w:rFonts w:hint="eastAsia" w:ascii="宋体" w:hAnsi="宋体" w:cs="宋体"/>
          <w:color w:val="000000" w:themeColor="text1"/>
          <w:kern w:val="1"/>
          <w:sz w:val="24"/>
          <w:szCs w:val="24"/>
          <w:highlight w:val="none"/>
          <w14:textFill>
            <w14:solidFill>
              <w14:schemeClr w14:val="tx1"/>
            </w14:solidFill>
          </w14:textFill>
        </w:rPr>
        <w:t>处，有阀门或龙头处离阀门、龙头中心</w:t>
      </w:r>
      <w:r>
        <w:rPr>
          <w:rFonts w:ascii="宋体" w:hAnsi="宋体" w:cs="宋体"/>
          <w:color w:val="000000" w:themeColor="text1"/>
          <w:kern w:val="1"/>
          <w:sz w:val="24"/>
          <w:szCs w:val="24"/>
          <w:highlight w:val="none"/>
          <w14:textFill>
            <w14:solidFill>
              <w14:schemeClr w14:val="tx1"/>
            </w14:solidFill>
          </w14:textFill>
        </w:rPr>
        <w:t>100mm</w:t>
      </w:r>
      <w:r>
        <w:rPr>
          <w:rFonts w:hint="eastAsia" w:ascii="宋体" w:hAnsi="宋体" w:cs="宋体"/>
          <w:color w:val="000000" w:themeColor="text1"/>
          <w:kern w:val="1"/>
          <w:sz w:val="24"/>
          <w:szCs w:val="24"/>
          <w:highlight w:val="none"/>
          <w14:textFill>
            <w14:solidFill>
              <w14:schemeClr w14:val="tx1"/>
            </w14:solidFill>
          </w14:textFill>
        </w:rPr>
        <w:t>处。</w:t>
      </w:r>
    </w:p>
    <w:p>
      <w:pPr>
        <w:pStyle w:val="3"/>
        <w:keepNext w:val="0"/>
        <w:pageBreakBefore w:val="0"/>
        <w:kinsoku/>
        <w:wordWrap/>
        <w:overflowPunct/>
        <w:topLinePunct w:val="0"/>
        <w:autoSpaceDE/>
        <w:autoSpaceDN/>
        <w:bidi w:val="0"/>
        <w:spacing w:line="528" w:lineRule="auto"/>
        <w:ind w:right="0" w:rightChars="0"/>
        <w:textAlignment w:val="auto"/>
        <w:rPr>
          <w:rFonts w:ascii="宋体" w:hAnsi="宋体" w:eastAsia="宋体"/>
          <w:color w:val="000000" w:themeColor="text1"/>
          <w:kern w:val="1"/>
          <w:sz w:val="24"/>
          <w:szCs w:val="24"/>
          <w:highlight w:val="none"/>
          <w14:textFill>
            <w14:solidFill>
              <w14:schemeClr w14:val="tx1"/>
            </w14:solidFill>
          </w14:textFill>
        </w:rPr>
      </w:pPr>
      <w:bookmarkStart w:id="5" w:name="_Toc446494751"/>
      <w:r>
        <w:rPr>
          <w:rFonts w:hint="eastAsia" w:ascii="宋体" w:hAnsi="宋体" w:eastAsia="宋体"/>
          <w:color w:val="000000" w:themeColor="text1"/>
          <w:kern w:val="1"/>
          <w:sz w:val="24"/>
          <w:szCs w:val="24"/>
          <w:highlight w:val="none"/>
          <w:lang w:eastAsia="zh-CN"/>
          <w14:textFill>
            <w14:solidFill>
              <w14:schemeClr w14:val="tx1"/>
            </w14:solidFill>
          </w14:textFill>
        </w:rPr>
        <w:t>2.</w:t>
      </w:r>
      <w:r>
        <w:rPr>
          <w:rFonts w:hint="eastAsia" w:ascii="宋体" w:hAnsi="宋体" w:eastAsia="宋体"/>
          <w:color w:val="000000" w:themeColor="text1"/>
          <w:kern w:val="1"/>
          <w:sz w:val="24"/>
          <w:szCs w:val="24"/>
          <w:highlight w:val="none"/>
          <w14:textFill>
            <w14:solidFill>
              <w14:schemeClr w14:val="tx1"/>
            </w14:solidFill>
          </w14:textFill>
        </w:rPr>
        <w:t>5管道试压</w:t>
      </w:r>
      <w:bookmarkEnd w:id="5"/>
      <w:r>
        <w:rPr>
          <w:rFonts w:hint="eastAsia" w:ascii="宋体" w:hAnsi="宋体" w:eastAsia="宋体"/>
          <w:color w:val="000000" w:themeColor="text1"/>
          <w:kern w:val="1"/>
          <w:sz w:val="24"/>
          <w:szCs w:val="24"/>
          <w:highlight w:val="none"/>
          <w:lang w:eastAsia="zh-CN"/>
          <w14:textFill>
            <w14:solidFill>
              <w14:schemeClr w14:val="tx1"/>
            </w14:solidFill>
          </w14:textFill>
        </w:rPr>
        <w:t>：</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生活给水管试验压力为0.6MPa</w:t>
      </w:r>
      <w:r>
        <w:rPr>
          <w:rFonts w:hint="eastAsia" w:ascii="宋体" w:hAnsi="宋体" w:cs="宋体"/>
          <w:color w:val="000000" w:themeColor="text1"/>
          <w:kern w:val="1"/>
          <w:sz w:val="24"/>
          <w:szCs w:val="24"/>
          <w:highlight w:val="none"/>
          <w:lang w:eastAsia="zh-CN"/>
          <w14:textFill>
            <w14:solidFill>
              <w14:schemeClr w14:val="tx1"/>
            </w14:solidFill>
          </w14:textFill>
        </w:rPr>
        <w:t>。</w:t>
      </w:r>
      <w:r>
        <w:rPr>
          <w:rFonts w:hint="eastAsia" w:ascii="宋体" w:hAnsi="宋体" w:cs="宋体"/>
          <w:color w:val="000000" w:themeColor="text1"/>
          <w:kern w:val="1"/>
          <w:sz w:val="24"/>
          <w:szCs w:val="24"/>
          <w:highlight w:val="none"/>
          <w14:textFill>
            <w14:solidFill>
              <w14:schemeClr w14:val="tx1"/>
            </w14:solidFill>
          </w14:textFill>
        </w:rPr>
        <w:t>管道安装完毕后，对各部位支、吊、托架进行检查。待检查合格后，进行水压试验，试验方法如下：</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1、试验管段的两端装压力表，为了进水装进水管，并在管线最高点装放气阀，所有连接管及阀门保证严密不漏水。</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2、水自管道低端灌入，灌水时同时开启放气阀，灌水后有一定的泡管时间，水压试验的管段的长度一般不超过</w:t>
      </w:r>
      <w:r>
        <w:rPr>
          <w:rFonts w:ascii="宋体" w:hAnsi="宋体" w:cs="宋体"/>
          <w:color w:val="000000" w:themeColor="text1"/>
          <w:kern w:val="1"/>
          <w:sz w:val="24"/>
          <w:szCs w:val="24"/>
          <w:highlight w:val="none"/>
          <w14:textFill>
            <w14:solidFill>
              <w14:schemeClr w14:val="tx1"/>
            </w14:solidFill>
          </w14:textFill>
        </w:rPr>
        <w:t>1000m</w:t>
      </w:r>
      <w:r>
        <w:rPr>
          <w:rFonts w:hint="eastAsia" w:ascii="宋体" w:hAnsi="宋体" w:cs="宋体"/>
          <w:color w:val="000000" w:themeColor="text1"/>
          <w:kern w:val="1"/>
          <w:sz w:val="24"/>
          <w:szCs w:val="24"/>
          <w:highlight w:val="none"/>
          <w14:textFill>
            <w14:solidFill>
              <w14:schemeClr w14:val="tx1"/>
            </w14:solidFill>
          </w14:textFill>
        </w:rPr>
        <w:t>。</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3、按规定实验压力升压后，观察</w:t>
      </w:r>
      <w:r>
        <w:rPr>
          <w:rFonts w:ascii="宋体" w:hAnsi="宋体" w:cs="宋体"/>
          <w:color w:val="000000" w:themeColor="text1"/>
          <w:kern w:val="1"/>
          <w:sz w:val="24"/>
          <w:szCs w:val="24"/>
          <w:highlight w:val="none"/>
          <w14:textFill>
            <w14:solidFill>
              <w14:schemeClr w14:val="tx1"/>
            </w14:solidFill>
          </w14:textFill>
        </w:rPr>
        <w:t>10</w:t>
      </w:r>
      <w:r>
        <w:rPr>
          <w:rFonts w:hint="eastAsia" w:ascii="宋体" w:hAnsi="宋体" w:cs="宋体"/>
          <w:color w:val="000000" w:themeColor="text1"/>
          <w:kern w:val="1"/>
          <w:sz w:val="24"/>
          <w:szCs w:val="24"/>
          <w:highlight w:val="none"/>
          <w14:textFill>
            <w14:solidFill>
              <w14:schemeClr w14:val="tx1"/>
            </w14:solidFill>
          </w14:textFill>
        </w:rPr>
        <w:t>分钟，如压力下降不大于</w:t>
      </w:r>
      <w:r>
        <w:rPr>
          <w:rFonts w:ascii="宋体" w:hAnsi="宋体" w:cs="宋体"/>
          <w:color w:val="000000" w:themeColor="text1"/>
          <w:kern w:val="1"/>
          <w:sz w:val="24"/>
          <w:szCs w:val="24"/>
          <w:highlight w:val="none"/>
          <w14:textFill>
            <w14:solidFill>
              <w14:schemeClr w14:val="tx1"/>
            </w14:solidFill>
          </w14:textFill>
        </w:rPr>
        <w:t>O.02KPa</w:t>
      </w:r>
      <w:r>
        <w:rPr>
          <w:rFonts w:hint="eastAsia" w:ascii="宋体" w:hAnsi="宋体" w:cs="宋体"/>
          <w:color w:val="000000" w:themeColor="text1"/>
          <w:kern w:val="1"/>
          <w:sz w:val="24"/>
          <w:szCs w:val="24"/>
          <w:highlight w:val="none"/>
          <w14:textFill>
            <w14:solidFill>
              <w14:schemeClr w14:val="tx1"/>
            </w14:solidFill>
          </w14:textFill>
        </w:rPr>
        <w:t>为合格。</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排水管安装完毕后做闭水试验。给水试压完毕后，对管道进行冲洗，清洗前将管路上的流量孔板、滤网、温度计、止回阀等部件拆下，并做好标记，清洗后再恢复原样。如系统较大，管路较长，分段冲洗，清洗到排水处透明为止。</w:t>
      </w:r>
    </w:p>
    <w:p>
      <w:pPr>
        <w:pStyle w:val="3"/>
        <w:keepNext w:val="0"/>
        <w:pageBreakBefore w:val="0"/>
        <w:kinsoku/>
        <w:wordWrap/>
        <w:overflowPunct/>
        <w:topLinePunct w:val="0"/>
        <w:autoSpaceDE/>
        <w:autoSpaceDN/>
        <w:bidi w:val="0"/>
        <w:spacing w:line="528" w:lineRule="auto"/>
        <w:ind w:right="0" w:rightChars="0"/>
        <w:textAlignment w:val="auto"/>
        <w:rPr>
          <w:rFonts w:hint="eastAsia" w:ascii="宋体" w:hAnsi="宋体" w:eastAsia="宋体"/>
          <w:color w:val="000000" w:themeColor="text1"/>
          <w:kern w:val="1"/>
          <w:sz w:val="24"/>
          <w:szCs w:val="24"/>
          <w:highlight w:val="none"/>
          <w14:textFill>
            <w14:solidFill>
              <w14:schemeClr w14:val="tx1"/>
            </w14:solidFill>
          </w14:textFill>
        </w:rPr>
      </w:pPr>
      <w:bookmarkStart w:id="6" w:name="_Toc446494752"/>
      <w:r>
        <w:rPr>
          <w:rFonts w:hint="eastAsia" w:ascii="宋体" w:hAnsi="宋体" w:eastAsia="宋体"/>
          <w:color w:val="000000" w:themeColor="text1"/>
          <w:kern w:val="1"/>
          <w:sz w:val="24"/>
          <w:szCs w:val="24"/>
          <w:highlight w:val="none"/>
          <w:lang w:eastAsia="zh-CN"/>
          <w14:textFill>
            <w14:solidFill>
              <w14:schemeClr w14:val="tx1"/>
            </w14:solidFill>
          </w14:textFill>
        </w:rPr>
        <w:t>2.</w:t>
      </w:r>
      <w:r>
        <w:rPr>
          <w:rFonts w:hint="eastAsia" w:ascii="宋体" w:hAnsi="宋体" w:eastAsia="宋体"/>
          <w:color w:val="000000" w:themeColor="text1"/>
          <w:kern w:val="1"/>
          <w:sz w:val="24"/>
          <w:szCs w:val="24"/>
          <w:highlight w:val="none"/>
          <w14:textFill>
            <w14:solidFill>
              <w14:schemeClr w14:val="tx1"/>
            </w14:solidFill>
          </w14:textFill>
        </w:rPr>
        <w:t>6 雨水排水系统:</w:t>
      </w:r>
      <w:bookmarkEnd w:id="6"/>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本工程屋面雨水经重力流雨水斗收集后, 在±0.00以下排出室外, 接入室外雨水管网，雨棚雨水采用重力流经雨水斗收集后排入室外雨水管网，屋面、雨棚雨水重现期按10设计。</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 xml:space="preserve"> 污废水及重力雨水管道采用PVC-U排水管，粘接或者胶圈密封连接；潜污泵配管镀锌钢管，丝扣连接。</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重力流雨水排水横管坡度为0.01.特殊地方处塑料雨水排水管不小于最小坡度0.005。</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重力雨水管注水至最上部雨水斗,在1H内不渗不漏为合格；压力排水管道按水泵扬程的2.0倍进行试压.</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雨水量:屋面雨水采用重力排水,设计重现期 P=10a，屋面积水深度不超过P=50a允许的负荷水深。</w:t>
      </w:r>
    </w:p>
    <w:p>
      <w:pPr>
        <w:pStyle w:val="3"/>
        <w:keepNext w:val="0"/>
        <w:pageBreakBefore w:val="0"/>
        <w:kinsoku/>
        <w:wordWrap/>
        <w:overflowPunct/>
        <w:topLinePunct w:val="0"/>
        <w:autoSpaceDE/>
        <w:autoSpaceDN/>
        <w:bidi w:val="0"/>
        <w:spacing w:line="528" w:lineRule="auto"/>
        <w:ind w:right="0" w:rightChars="0"/>
        <w:textAlignment w:val="auto"/>
        <w:rPr>
          <w:rFonts w:hint="eastAsia" w:ascii="宋体" w:hAnsi="宋体" w:eastAsia="宋体"/>
          <w:color w:val="000000" w:themeColor="text1"/>
          <w:kern w:val="1"/>
          <w:sz w:val="24"/>
          <w:szCs w:val="24"/>
          <w:highlight w:val="none"/>
          <w14:textFill>
            <w14:solidFill>
              <w14:schemeClr w14:val="tx1"/>
            </w14:solidFill>
          </w14:textFill>
        </w:rPr>
      </w:pPr>
      <w:r>
        <w:rPr>
          <w:rFonts w:hint="eastAsia" w:ascii="宋体" w:hAnsi="宋体" w:eastAsia="宋体"/>
          <w:color w:val="000000" w:themeColor="text1"/>
          <w:kern w:val="1"/>
          <w:sz w:val="24"/>
          <w:szCs w:val="24"/>
          <w:highlight w:val="none"/>
          <w:lang w:eastAsia="zh-CN"/>
          <w14:textFill>
            <w14:solidFill>
              <w14:schemeClr w14:val="tx1"/>
            </w14:solidFill>
          </w14:textFill>
        </w:rPr>
        <w:t>2.</w:t>
      </w:r>
      <w:r>
        <w:rPr>
          <w:rFonts w:hint="eastAsia" w:ascii="宋体" w:hAnsi="宋体" w:eastAsia="宋体"/>
          <w:color w:val="000000" w:themeColor="text1"/>
          <w:kern w:val="1"/>
          <w:sz w:val="24"/>
          <w:szCs w:val="24"/>
          <w:highlight w:val="none"/>
          <w:lang w:val="en-US" w:eastAsia="zh-CN"/>
          <w14:textFill>
            <w14:solidFill>
              <w14:schemeClr w14:val="tx1"/>
            </w14:solidFill>
          </w14:textFill>
        </w:rPr>
        <w:t>7</w:t>
      </w:r>
      <w:r>
        <w:rPr>
          <w:rFonts w:hint="eastAsia" w:ascii="宋体" w:hAnsi="宋体" w:eastAsia="宋体"/>
          <w:color w:val="000000" w:themeColor="text1"/>
          <w:kern w:val="1"/>
          <w:sz w:val="24"/>
          <w:szCs w:val="24"/>
          <w:highlight w:val="none"/>
          <w:lang w:eastAsia="zh-CN"/>
          <w14:textFill>
            <w14:solidFill>
              <w14:schemeClr w14:val="tx1"/>
            </w14:solidFill>
          </w14:textFill>
        </w:rPr>
        <w:t>室外管网</w:t>
      </w:r>
      <w:r>
        <w:rPr>
          <w:rFonts w:hint="eastAsia" w:ascii="宋体" w:hAnsi="宋体" w:eastAsia="宋体"/>
          <w:color w:val="000000" w:themeColor="text1"/>
          <w:kern w:val="1"/>
          <w:sz w:val="24"/>
          <w:szCs w:val="24"/>
          <w:highlight w:val="none"/>
          <w14:textFill>
            <w14:solidFill>
              <w14:schemeClr w14:val="tx1"/>
            </w14:solidFill>
          </w14:textFill>
        </w:rPr>
        <w:t>系统:</w:t>
      </w:r>
    </w:p>
    <w:p>
      <w:pPr>
        <w:pStyle w:val="8"/>
        <w:keepNext w:val="0"/>
        <w:keepLines w:val="0"/>
        <w:pageBreakBefore w:val="0"/>
        <w:widowControl/>
        <w:suppressLineNumbers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lang w:val="en-US" w:eastAsia="zh-CN" w:bidi="ar-SA"/>
          <w14:textFill>
            <w14:solidFill>
              <w14:schemeClr w14:val="tx1"/>
            </w14:solidFill>
          </w14:textFill>
        </w:rPr>
      </w:pPr>
      <w:r>
        <w:rPr>
          <w:rFonts w:hint="eastAsia" w:ascii="宋体" w:hAnsi="宋体" w:cs="宋体"/>
          <w:color w:val="000000" w:themeColor="text1"/>
          <w:kern w:val="1"/>
          <w:sz w:val="24"/>
          <w:szCs w:val="24"/>
          <w:highlight w:val="none"/>
          <w:lang w:val="en-US" w:eastAsia="zh-CN" w:bidi="ar-SA"/>
          <w14:textFill>
            <w14:solidFill>
              <w14:schemeClr w14:val="tx1"/>
            </w14:solidFill>
          </w14:textFill>
        </w:rPr>
        <w:t>2.7.1管线开槽：</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1、沟槽开挖采用机械加人工开挖方式，机械开挖时不能超挖，为确保槽底土层结构不被扰动或破坏，应在</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begin"/>
      </w:r>
      <w:r>
        <w:rPr>
          <w:rFonts w:hint="eastAsia" w:ascii="宋体" w:hAnsi="宋体" w:cs="宋体"/>
          <w:color w:val="000000" w:themeColor="text1"/>
          <w:kern w:val="1"/>
          <w:sz w:val="24"/>
          <w:szCs w:val="24"/>
          <w:highlight w:val="none"/>
          <w:lang w:val="en-US" w:eastAsia="zh-CN" w:bidi="ar-SA"/>
          <w14:textFill>
            <w14:solidFill>
              <w14:schemeClr w14:val="tx1"/>
            </w14:solidFill>
          </w14:textFill>
        </w:rPr>
        <w:instrText xml:space="preserve"> HYPERLINK "https://www.baidu.com/s?wd=%E5%9F%BA%E5%BA%95%E6%A0%87%E9%AB%98&amp;tn=44039180_cpr&amp;fenlei=mv6quAkxTZn0IZRqIHckPjm4nH00T1dWnWbdnj61nADzuH04uh790ZwV5Hcvrjm3rH6sPfKWUMw85HfYnjn4nH6sgvPsT6KdThsqpZwYTjCEQLGCpyw9Uz4Bmy-bIi4WUvYETgN-TLwGUv3EnHc1P16LnjRznWfvPHf4PHDLrf" \t "https://zhidao.baidu.com/question/_blank" </w:instrTex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separate"/>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基底标高</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end"/>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以上留出200mm左右一层不挖，待铺管前用人工清挖找平及采用机械碾压成型。沟槽开挖时严禁超挖。</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 xml:space="preserve">2、沟槽深度的控制：当挖土深度接近沟槽底标高时，应在沟槽壁上距设计底标高 300～500mm 处，用水准仪布设水平标桩，桩距不大于10m，最后挖土时，操作人员可椐其拉水平线，用300～500mm样棒作为清底找平、铲除脚泥的标准线。  </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3、</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begin"/>
      </w:r>
      <w:r>
        <w:rPr>
          <w:rFonts w:hint="eastAsia" w:ascii="宋体" w:hAnsi="宋体" w:cs="宋体"/>
          <w:color w:val="000000" w:themeColor="text1"/>
          <w:kern w:val="1"/>
          <w:sz w:val="24"/>
          <w:szCs w:val="24"/>
          <w:highlight w:val="none"/>
          <w:lang w:val="en-US" w:eastAsia="zh-CN" w:bidi="ar-SA"/>
          <w14:textFill>
            <w14:solidFill>
              <w14:schemeClr w14:val="tx1"/>
            </w14:solidFill>
          </w14:textFill>
        </w:rPr>
        <w:instrText xml:space="preserve"> HYPERLINK "https://www.baidu.com/s?wd=%E5%9C%9F%E6%96%B9%E5%BC%80%E6%8C%96&amp;tn=44039180_cpr&amp;fenlei=mv6quAkxTZn0IZRqIHckPjm4nH00T1dWnWbdnj61nADzuH04uh790ZwV5Hcvrjm3rH6sPfKWUMw85HfYnjn4nH6sgvPsT6KdThsqpZwYTjCEQLGCpyw9Uz4Bmy-bIi4WUvYETgN-TLwGUv3EnHc1P16LnjRznWfvPHf4PHDLrf" \t "https://zhidao.baidu.com/question/_blank" </w:instrTex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separate"/>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土方开挖</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end"/>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时对成排并且同向的管线可根据各自的深度整体开挖，开挖后不易坍塌的管沟要尽快铺设管线，而易坍塌的局部管沟应设置支撑，并在有地下水的管沟内设置集中排水沟。</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4、本工程管道预制连接工作部分可在地面进行，在管沟适当位置可设置小型工作坑，而不必全部设置较大工作面，因此管沟的开挖宽度可根据现场实际情况不断调整。</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 xml:space="preserve">5、沟槽每侧临时堆土或施加其他载荷时，不得影响构筑物、各种管道和其它设施的安全；堆土或材料的高度不宜超过1.5米，距沟槽边缘宜不小于0.8米，堆土不得掩埋测量标志、消防栓、阀门、雨水口等设施。 </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2.7.2砌筑检查井</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1、砌筑井室时，用水冲净基础后，先铺一层砂浆，再压砖砌筑，必须做到满铺满挤，砖与砖间灰缝保持1cm。</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2、</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begin"/>
      </w:r>
      <w:r>
        <w:rPr>
          <w:rFonts w:hint="eastAsia" w:ascii="宋体" w:hAnsi="宋体" w:cs="宋体"/>
          <w:color w:val="000000" w:themeColor="text1"/>
          <w:kern w:val="1"/>
          <w:sz w:val="24"/>
          <w:szCs w:val="24"/>
          <w:highlight w:val="none"/>
          <w:lang w:val="en-US" w:eastAsia="zh-CN" w:bidi="ar-SA"/>
          <w14:textFill>
            <w14:solidFill>
              <w14:schemeClr w14:val="tx1"/>
            </w14:solidFill>
          </w14:textFill>
        </w:rPr>
        <w:instrText xml:space="preserve"> HYPERLINK "https://www.baidu.com/s?wd=%E6%8E%92%E6%B0%B4%E7%AE%A1%E9%81%93&amp;tn=44039180_cpr&amp;fenlei=mv6quAkxTZn0IZRqIHckPjm4nH00T1dWnWbdnj61nADzuH04uh790ZwV5Hcvrjm3rH6sPfKWUMw85HfYnjn4nH6sgvPsT6KdThsqpZwYTjCEQLGCpyw9Uz4Bmy-bIi4WUvYETgN-TLwGUv3EnHc1P16LnjRznWfvPHf4PHDLrf" \t "https://zhidao.baidu.com/question/_blank" </w:instrTex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separate"/>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排水管道</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end"/>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检查井内的溜槽与井壁同时砌筑，当采用石砌时，表面应用砂浆分层压实抹光，溜槽应与上下游管道接顺，管内底高程应符合要求。</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3、砖砌检查井的踏步应随砌随安，位置之前，踏步安装后在</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begin"/>
      </w:r>
      <w:r>
        <w:rPr>
          <w:rFonts w:hint="eastAsia" w:ascii="宋体" w:hAnsi="宋体" w:cs="宋体"/>
          <w:color w:val="000000" w:themeColor="text1"/>
          <w:kern w:val="1"/>
          <w:sz w:val="24"/>
          <w:szCs w:val="24"/>
          <w:highlight w:val="none"/>
          <w:lang w:val="en-US" w:eastAsia="zh-CN" w:bidi="ar-SA"/>
          <w14:textFill>
            <w14:solidFill>
              <w14:schemeClr w14:val="tx1"/>
            </w14:solidFill>
          </w14:textFill>
        </w:rPr>
        <w:instrText xml:space="preserve"> HYPERLINK "https://www.baidu.com/s?wd=%E7%A0%8C%E7%AD%91%E7%A0%82%E6%B5%86&amp;tn=44039180_cpr&amp;fenlei=mv6quAkxTZn0IZRqIHckPjm4nH00T1dWnWbdnj61nADzuH04uh790ZwV5Hcvrjm3rH6sPfKWUMw85HfYnjn4nH6sgvPsT6KdThsqpZwYTjCEQLGCpyw9Uz4Bmy-bIi4WUvYETgN-TLwGUv3EnHc1P16LnjRznWfvPHf4PHDLrf" \t "https://zhidao.baidu.com/question/_blank" </w:instrTex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separate"/>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砌筑砂浆</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end"/>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或混凝土未达到规定抗强度前不得踩踏。</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4、砖砌检查井的预留管应随砌随安，预留管的管径、方向、标高应符合设计要求，管与井壁连接处应严密不得漏水，预留支管口应用低强度等级砂浆砌筑封口抹平。</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5、当砖砌井身不能一次砌完，在二次接高时，应将原砖面得泥土杂物清理干净，再用水清洗砖面并浸透。</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6、砖砌检查井接入圆管的管口应予井内壁平齐，当接入管径大于300mm时，应砌砖圈加固。管子穿越井室壁或井底，应留有30-50mm的环缝，用油麻、</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begin"/>
      </w:r>
      <w:r>
        <w:rPr>
          <w:rFonts w:hint="eastAsia" w:ascii="宋体" w:hAnsi="宋体" w:cs="宋体"/>
          <w:color w:val="000000" w:themeColor="text1"/>
          <w:kern w:val="1"/>
          <w:sz w:val="24"/>
          <w:szCs w:val="24"/>
          <w:highlight w:val="none"/>
          <w:lang w:val="en-US" w:eastAsia="zh-CN" w:bidi="ar-SA"/>
          <w14:textFill>
            <w14:solidFill>
              <w14:schemeClr w14:val="tx1"/>
            </w14:solidFill>
          </w14:textFill>
        </w:rPr>
        <w:instrText xml:space="preserve"> HYPERLINK "https://www.baidu.com/s?wd=%E6%B0%B4%E6%B3%A5%E7%A0%82%E6%B5%86&amp;tn=44039180_cpr&amp;fenlei=mv6quAkxTZn0IZRqIHckPjm4nH00T1dWnWbdnj61nADzuH04uh790ZwV5Hcvrjm3rH6sPfKWUMw85HfYnjn4nH6sgvPsT6KdThsqpZwYTjCEQLGCpyw9Uz4Bmy-bIi4WUvYETgN-TLwGUv3EnHc1P16LnjRznWfvPHf4PHDLrf" \t "https://zhidao.baidu.com/question/_blank" </w:instrTex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separate"/>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水泥砂浆</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end"/>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 xml:space="preserve">填并捣实。        </w:t>
      </w:r>
    </w:p>
    <w:p>
      <w:pPr>
        <w:pStyle w:val="8"/>
        <w:keepNext w:val="0"/>
        <w:keepLines w:val="0"/>
        <w:pageBreakBefore w:val="0"/>
        <w:widowControl/>
        <w:suppressLineNumbers w:val="0"/>
        <w:kinsoku/>
        <w:wordWrap/>
        <w:overflowPunct/>
        <w:topLinePunct w:val="0"/>
        <w:autoSpaceDE/>
        <w:autoSpaceDN/>
        <w:bidi w:val="0"/>
        <w:spacing w:line="528" w:lineRule="auto"/>
        <w:ind w:right="0" w:rightChars="0"/>
        <w:textAlignment w:val="auto"/>
        <w:rPr>
          <w:rFonts w:hint="eastAsia" w:ascii="宋体" w:hAnsi="宋体" w:cs="宋体"/>
          <w:color w:val="000000" w:themeColor="text1"/>
          <w:kern w:val="1"/>
          <w:sz w:val="24"/>
          <w:szCs w:val="24"/>
          <w:highlight w:val="none"/>
          <w:lang w:val="en-US" w:eastAsia="zh-CN" w:bidi="ar-SA"/>
          <w14:textFill>
            <w14:solidFill>
              <w14:schemeClr w14:val="tx1"/>
            </w14:solidFill>
          </w14:textFill>
        </w:rPr>
      </w:pPr>
      <w:r>
        <w:rPr>
          <w:rFonts w:hint="eastAsia" w:ascii="宋体" w:hAnsi="宋体" w:cs="宋体"/>
          <w:color w:val="000000" w:themeColor="text1"/>
          <w:kern w:val="1"/>
          <w:sz w:val="24"/>
          <w:szCs w:val="24"/>
          <w:highlight w:val="none"/>
          <w:lang w:val="en-US" w:eastAsia="zh-CN" w:bidi="ar-SA"/>
          <w14:textFill>
            <w14:solidFill>
              <w14:schemeClr w14:val="tx1"/>
            </w14:solidFill>
          </w14:textFill>
        </w:rPr>
        <w:t>2.7.3管道安装：</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1、进入现场的管材、管件和接口材料，都应具有</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begin"/>
      </w:r>
      <w:r>
        <w:rPr>
          <w:rFonts w:hint="eastAsia" w:ascii="宋体" w:hAnsi="宋体" w:cs="宋体"/>
          <w:color w:val="000000" w:themeColor="text1"/>
          <w:kern w:val="1"/>
          <w:sz w:val="24"/>
          <w:szCs w:val="24"/>
          <w:highlight w:val="none"/>
          <w:lang w:val="en-US" w:eastAsia="zh-CN" w:bidi="ar-SA"/>
          <w14:textFill>
            <w14:solidFill>
              <w14:schemeClr w14:val="tx1"/>
            </w14:solidFill>
          </w14:textFill>
        </w:rPr>
        <w:instrText xml:space="preserve"> HYPERLINK "https://www.baidu.com/s?wd=%E4%BA%A7%E5%93%81%E5%90%88%E6%A0%BC%E8%AF%81&amp;tn=44039180_cpr&amp;fenlei=mv6quAkxTZn0IZRqIHckPjm4nH00T1dWnWbdnj61nADzuH04uh790ZwV5Hcvrjm3rH6sPfKWUMw85HfYnjn4nH6sgvPsT6KdThsqpZwYTjCEQLGCpyw9Uz4Bmy-bIi4WUvYETgN-TLwGUv3EnHc1P16LnjRznWfvPHf4PHDLrf" \t "https://zhidao.baidu.com/question/_blank" </w:instrTex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separate"/>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产品合格证</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end"/>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及性能检测报告。其检测值应符合国家现行</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begin"/>
      </w:r>
      <w:r>
        <w:rPr>
          <w:rFonts w:hint="eastAsia" w:ascii="宋体" w:hAnsi="宋体" w:cs="宋体"/>
          <w:color w:val="000000" w:themeColor="text1"/>
          <w:kern w:val="1"/>
          <w:sz w:val="24"/>
          <w:szCs w:val="24"/>
          <w:highlight w:val="none"/>
          <w:lang w:val="en-US" w:eastAsia="zh-CN" w:bidi="ar-SA"/>
          <w14:textFill>
            <w14:solidFill>
              <w14:schemeClr w14:val="tx1"/>
            </w14:solidFill>
          </w14:textFill>
        </w:rPr>
        <w:instrText xml:space="preserve"> HYPERLINK "https://www.baidu.com/s?wd=%E4%BA%A7%E5%93%81%E6%A0%87%E5%87%86&amp;tn=44039180_cpr&amp;fenlei=mv6quAkxTZn0IZRqIHckPjm4nH00T1dWnWbdnj61nADzuH04uh790ZwV5Hcvrjm3rH6sPfKWUMw85HfYnjn4nH6sgvPsT6KdThsqpZwYTjCEQLGCpyw9Uz4Bmy-bIi4WUvYETgN-TLwGUv3EnHc1P16LnjRznWfvPHf4PHDLrf" \t "https://zhidao.baidu.com/question/_blank" </w:instrTex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separate"/>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产品标准</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fldChar w:fldCharType="end"/>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的规定和符合设计要求。进入现场的管材、管件必须逐根逐件的进行外观检查。管材应分类整齐堆放，管端应有防护管帽，堆放场地应平整、无杂物、无积水，堆放高度不大于2米。参加施工的施焊人员须经考核合格，取得证书后方可上岗作业。</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2、管道安装前应检查沟槽底高程、坡度、基底处理是否符合设计要求，应排除沟内地下水或积水积冰或积雪，管道内的杂物及砂土亦应清除干净。</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3、安装直埋管道当日工程量完工时应将管端用盲板封堵，严禁将施工工具和焊料放入管内。所用的堵板应具有防流砂进入管内的功能。</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4、本工程中所有给水管道均采用无沟直埋敷设方式，其坡向随地形敷设，最小坡度不应小于3‰。所有给水管道穿路时设钢制套管，套管管径比所保护管道大2个级别，套管长度两边超出穿越路面各1米。</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5、施工过程中应特别注意管沟两侧挖出的土方，防止挖出的石块落入管沟冲击管材。土方开挖后应尽快铺设管线，管线施工完一段后应即刻回填。</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2.7.4土方回填：</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管线安装完毕并经水压试验合格后应进行管沟土方回填。土方回填应注意以下几点要求：</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1、回填土质应为良质土，不得有坚硬物与其它杂物。管材两侧及上方需填良质土的厚度最少为20～30cm。</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2、直埋管道的回填埋深应不小于0.3m（距管顶）,再覆盖10cm厚混凝土。</w:t>
      </w:r>
      <w:r>
        <w:rPr>
          <w:rFonts w:hint="eastAsia" w:ascii="宋体" w:hAnsi="宋体" w:cs="宋体"/>
          <w:color w:val="000000" w:themeColor="text1"/>
          <w:kern w:val="1"/>
          <w:sz w:val="24"/>
          <w:szCs w:val="24"/>
          <w:highlight w:val="none"/>
          <w:lang w:val="en-US" w:eastAsia="zh-CN" w:bidi="ar-SA"/>
          <w14:textFill>
            <w14:solidFill>
              <w14:schemeClr w14:val="tx1"/>
            </w14:solidFill>
          </w14:textFill>
        </w:rPr>
        <w:br w:type="textWrapping"/>
      </w:r>
      <w:r>
        <w:rPr>
          <w:rFonts w:hint="eastAsia" w:ascii="宋体" w:hAnsi="宋体" w:cs="宋体"/>
          <w:color w:val="000000" w:themeColor="text1"/>
          <w:kern w:val="1"/>
          <w:sz w:val="24"/>
          <w:szCs w:val="24"/>
          <w:highlight w:val="none"/>
          <w:lang w:val="en-US" w:eastAsia="zh-CN" w:bidi="ar-SA"/>
          <w14:textFill>
            <w14:solidFill>
              <w14:schemeClr w14:val="tx1"/>
            </w14:solidFill>
          </w14:textFill>
        </w:rPr>
        <w:t>3、回填时，管线上层用砂质粘土分层夯实，每填土厚300mm夯实一次，直到地面标高。</w:t>
      </w:r>
    </w:p>
    <w:p>
      <w:pPr>
        <w:pStyle w:val="2"/>
        <w:pageBreakBefore w:val="0"/>
        <w:kinsoku/>
        <w:wordWrap/>
        <w:overflowPunct/>
        <w:topLinePunct w:val="0"/>
        <w:autoSpaceDE/>
        <w:autoSpaceDN/>
        <w:bidi w:val="0"/>
        <w:spacing w:line="528" w:lineRule="auto"/>
        <w:ind w:right="0" w:rightChars="0"/>
        <w:jc w:val="left"/>
        <w:textAlignment w:val="auto"/>
        <w:rPr>
          <w:rFonts w:hint="eastAsia" w:ascii="宋体" w:hAnsi="宋体" w:eastAsia="宋体" w:cs="Dotum"/>
          <w:color w:val="000000" w:themeColor="text1"/>
          <w:sz w:val="24"/>
          <w:szCs w:val="24"/>
          <w:highlight w:val="none"/>
          <w14:textFill>
            <w14:solidFill>
              <w14:schemeClr w14:val="tx1"/>
            </w14:solidFill>
          </w14:textFill>
        </w:rPr>
      </w:pPr>
      <w:bookmarkStart w:id="7" w:name="_Toc446494758"/>
      <w:r>
        <w:rPr>
          <w:rFonts w:hint="eastAsia" w:ascii="宋体" w:hAnsi="宋体" w:eastAsia="宋体" w:cs="Dotum"/>
          <w:color w:val="000000" w:themeColor="text1"/>
          <w:sz w:val="24"/>
          <w:szCs w:val="24"/>
          <w:highlight w:val="none"/>
          <w:lang w:eastAsia="zh-CN"/>
          <w14:textFill>
            <w14:solidFill>
              <w14:schemeClr w14:val="tx1"/>
            </w14:solidFill>
          </w14:textFill>
        </w:rPr>
        <w:t>三</w:t>
      </w:r>
      <w:r>
        <w:rPr>
          <w:rFonts w:hint="eastAsia" w:ascii="宋体" w:hAnsi="宋体" w:eastAsia="宋体" w:cs="Dotum"/>
          <w:color w:val="000000" w:themeColor="text1"/>
          <w:sz w:val="24"/>
          <w:szCs w:val="24"/>
          <w:highlight w:val="none"/>
          <w14:textFill>
            <w14:solidFill>
              <w14:schemeClr w14:val="tx1"/>
            </w14:solidFill>
          </w14:textFill>
        </w:rPr>
        <w:t>、安全技术措施</w:t>
      </w:r>
      <w:bookmarkEnd w:id="7"/>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安全生产工作以严肃法规落实责任，消灭违章、强化管理为中心，努力提高企业技术管理水平，确保全体施工人员的安全健康。</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1、参加该工程施工人员必须坚持安全第一，预防为主的方针。层层建立岗位责任制，遵守国家和企业的安全规程，在任何情况下不得违章指挥或违章操作。</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2、各项施工方案分别编制安全技术措施，书面向施工人员交底。</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3、进入现场严格遵守现场各项规章制度，工长对施工人员做好工程介绍和现场安全教育。</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4、凡两米以上高空作业支搭脚手架，工长事先提出支搭架子要求。</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5、安装使用的脚手架，使用前认真检查架子有无</w:t>
      </w:r>
      <w:r>
        <w:rPr>
          <w:rFonts w:hint="eastAsia" w:ascii="宋体" w:hAnsi="宋体" w:cs="宋体"/>
          <w:color w:val="000000" w:themeColor="text1"/>
          <w:kern w:val="1"/>
          <w:sz w:val="24"/>
          <w:szCs w:val="24"/>
          <w:highlight w:val="none"/>
          <w:lang w:eastAsia="zh-CN"/>
          <w14:textFill>
            <w14:solidFill>
              <w14:schemeClr w14:val="tx1"/>
            </w14:solidFill>
          </w14:textFill>
        </w:rPr>
        <w:t>腐朽</w:t>
      </w:r>
      <w:r>
        <w:rPr>
          <w:rFonts w:hint="eastAsia" w:ascii="宋体" w:hAnsi="宋体" w:cs="宋体"/>
          <w:color w:val="000000" w:themeColor="text1"/>
          <w:kern w:val="1"/>
          <w:sz w:val="24"/>
          <w:szCs w:val="24"/>
          <w:highlight w:val="none"/>
          <w14:textFill>
            <w14:solidFill>
              <w14:schemeClr w14:val="tx1"/>
            </w14:solidFill>
          </w14:textFill>
        </w:rPr>
        <w:t>现象，有无探头板。施工周围及时清理障碍物，防止产生钉子扎脚或其它磕碰工伤事故。</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6、施工地点及附近的孔洞加盖牢固，管道竖井其预留钢筋按需要孔径切割开洞，防止人员高空坠落和物体坠落伤人事故。</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7、暂设用电按安全用电规定，凡手持电动工具的使用通过漏电保护装置，潮湿地点作业穿绝缘胶靴。</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8、生产班组每月进行两次以上的班组安全活动并记录。查隐患、查漏洞、查麻痹思想，经常不断地进行安全教育。</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9、进入施工现场必须戴安全帽，高空作业佩带安全带。</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10、交叉作业、多人作业必须相互注意安全。</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11、各种梯子应稳固可靠，梯子下端要设伴绳并采取防滑措施，必要时设专人扶梯。</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12、架空管道未固定前，必须用绳索或铁丝绑扎牢固，或用管卡卡牢，尚未采取稳固措施前，严禁下道工序工作，防止滑落伤人。</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13、电气焊作业时，必须提前办理动火证，氧气瓶、乙炔瓶必须放在安全地带，注意易燃物品，必须注意火种飞溅，防止引起火灾。使用的机电必须按规定接地，线路必须有良好的绝缘，不得与金属物绑在一起。</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14、每周进行一次安全例会，检查一次质量安全生产。</w:t>
      </w: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p>
    <w:p>
      <w:pPr>
        <w:pageBreakBefore w:val="0"/>
        <w:kinsoku/>
        <w:wordWrap/>
        <w:overflowPunct/>
        <w:topLinePunct w:val="0"/>
        <w:autoSpaceDE/>
        <w:autoSpaceDN/>
        <w:bidi w:val="0"/>
        <w:spacing w:line="528" w:lineRule="auto"/>
        <w:ind w:right="0" w:rightChars="0" w:firstLine="480"/>
        <w:textAlignment w:val="auto"/>
        <w:rPr>
          <w:rFonts w:ascii="宋体" w:hAnsi="宋体" w:cs="宋体"/>
          <w:color w:val="000000" w:themeColor="text1"/>
          <w:kern w:val="1"/>
          <w:sz w:val="24"/>
          <w:szCs w:val="24"/>
          <w:highlight w:val="none"/>
          <w14:textFill>
            <w14:solidFill>
              <w14:schemeClr w14:val="tx1"/>
            </w14:solidFill>
          </w14:textFill>
        </w:rPr>
      </w:pPr>
    </w:p>
    <w:p>
      <w:pPr>
        <w:pStyle w:val="2"/>
        <w:pageBreakBefore w:val="0"/>
        <w:kinsoku/>
        <w:wordWrap/>
        <w:overflowPunct/>
        <w:topLinePunct w:val="0"/>
        <w:autoSpaceDE/>
        <w:autoSpaceDN/>
        <w:bidi w:val="0"/>
        <w:spacing w:line="528" w:lineRule="auto"/>
        <w:ind w:right="0" w:rightChars="0"/>
        <w:jc w:val="left"/>
        <w:textAlignment w:val="auto"/>
        <w:rPr>
          <w:rFonts w:hint="eastAsia" w:ascii="宋体" w:hAnsi="宋体" w:eastAsia="宋体" w:cs="Dotum"/>
          <w:color w:val="000000" w:themeColor="text1"/>
          <w:sz w:val="24"/>
          <w:szCs w:val="24"/>
          <w:highlight w:val="none"/>
          <w14:textFill>
            <w14:solidFill>
              <w14:schemeClr w14:val="tx1"/>
            </w14:solidFill>
          </w14:textFill>
        </w:rPr>
      </w:pPr>
      <w:bookmarkStart w:id="8" w:name="_Toc446494759"/>
      <w:r>
        <w:rPr>
          <w:rFonts w:hint="eastAsia" w:ascii="宋体" w:hAnsi="宋体" w:eastAsia="宋体" w:cs="Dotum"/>
          <w:color w:val="000000" w:themeColor="text1"/>
          <w:sz w:val="24"/>
          <w:szCs w:val="24"/>
          <w:highlight w:val="none"/>
          <w:lang w:eastAsia="zh-CN"/>
          <w14:textFill>
            <w14:solidFill>
              <w14:schemeClr w14:val="tx1"/>
            </w14:solidFill>
          </w14:textFill>
        </w:rPr>
        <w:t>四</w:t>
      </w:r>
      <w:r>
        <w:rPr>
          <w:rFonts w:hint="eastAsia" w:ascii="宋体" w:hAnsi="宋体" w:eastAsia="宋体" w:cs="Dotum"/>
          <w:color w:val="000000" w:themeColor="text1"/>
          <w:sz w:val="24"/>
          <w:szCs w:val="24"/>
          <w:highlight w:val="none"/>
          <w14:textFill>
            <w14:solidFill>
              <w14:schemeClr w14:val="tx1"/>
            </w14:solidFill>
          </w14:textFill>
        </w:rPr>
        <w:t>、现场文明施工管理措施</w:t>
      </w:r>
      <w:bookmarkEnd w:id="8"/>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1、施工现场文明施工管理严格执行上级颁发的场容管理第规定，施工队由队长主抓，施工员分区负责，施工小组均安排一人管文明施工。</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2、施工队现场文明施工管理统一布置，统一安排，画出平面布置图分区负责，贴在现场办公室，每个班组安排岗位责任制，贴在小组工具房。</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3、工长交底对文明施工提出具体要求，重要部位有切实可行的具体措施书面交底。</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4、对于暂设用房不得有歪斜、破烂等现象，要严格按要求办，做到规矩整齐．</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5、操作地点周围做到整洁，干活脚下清，工完料净。</w:t>
      </w:r>
    </w:p>
    <w:p>
      <w:pPr>
        <w:pageBreakBefore w:val="0"/>
        <w:kinsoku/>
        <w:wordWrap/>
        <w:overflowPunct/>
        <w:topLinePunct w:val="0"/>
        <w:autoSpaceDE/>
        <w:autoSpaceDN/>
        <w:bidi w:val="0"/>
        <w:spacing w:line="528" w:lineRule="auto"/>
        <w:ind w:right="0" w:rightChars="0" w:firstLine="480"/>
        <w:textAlignment w:val="auto"/>
        <w:rPr>
          <w:rFonts w:hint="eastAsia"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6、上道工序为下道工序创造质量优良的条件，及时做好预留的暗配管工作。</w:t>
      </w:r>
    </w:p>
    <w:p>
      <w:pPr>
        <w:pageBreakBefore w:val="0"/>
        <w:kinsoku/>
        <w:wordWrap/>
        <w:overflowPunct/>
        <w:topLinePunct w:val="0"/>
        <w:autoSpaceDE/>
        <w:autoSpaceDN/>
        <w:bidi w:val="0"/>
        <w:spacing w:line="528" w:lineRule="auto"/>
        <w:ind w:right="0" w:rightChars="0" w:firstLine="480"/>
        <w:textAlignment w:val="auto"/>
        <w:rPr>
          <w:rFonts w:hint="eastAsia" w:asciiTheme="majorEastAsia" w:hAnsiTheme="majorEastAsia" w:eastAsiaTheme="majorEastAsia" w:cstheme="majorEastAsia"/>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7、施工现场堆放的成品、材料整齐布置，以免影响</w:t>
      </w:r>
      <w:r>
        <w:rPr>
          <w:rFonts w:hint="eastAsia" w:ascii="宋体" w:hAnsi="宋体" w:cs="宋体"/>
          <w:color w:val="000000" w:themeColor="text1"/>
          <w:kern w:val="1"/>
          <w:sz w:val="24"/>
          <w:szCs w:val="24"/>
          <w:highlight w:val="none"/>
          <w:lang w:eastAsia="zh-CN"/>
          <w14:textFill>
            <w14:solidFill>
              <w14:schemeClr w14:val="tx1"/>
            </w14:solidFill>
          </w14:textFill>
        </w:rPr>
        <w:t>现场文明</w:t>
      </w:r>
      <w:bookmarkStart w:id="9" w:name="_GoBack"/>
      <w:bookmarkEnd w:id="9"/>
      <w:r>
        <w:rPr>
          <w:rFonts w:hint="eastAsia" w:ascii="宋体" w:hAnsi="宋体" w:cs="宋体"/>
          <w:color w:val="000000" w:themeColor="text1"/>
          <w:kern w:val="1"/>
          <w:sz w:val="24"/>
          <w:szCs w:val="24"/>
          <w:highlight w:val="none"/>
          <w14:textFill>
            <w14:solidFill>
              <w14:schemeClr w14:val="tx1"/>
            </w14:solidFill>
          </w14:textFill>
        </w:rPr>
        <w:t>。</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System">
    <w:altName w:val="宋体"/>
    <w:panose1 w:val="00000000000000000000"/>
    <w:charset w:val="86"/>
    <w:family w:val="auto"/>
    <w:pitch w:val="default"/>
    <w:sig w:usb0="00000000" w:usb1="0000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金山简魏碑">
    <w:altName w:val="宋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 w:name="PingFang SC">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ËÎÌå">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2AF" w:usb1="01D77CFB" w:usb2="00000012" w:usb3="00000000" w:csb0="00080001" w:csb1="00000000"/>
  </w:font>
  <w:font w:name="华文仿宋">
    <w:altName w:val="仿宋"/>
    <w:panose1 w:val="02010600040101010101"/>
    <w:charset w:val="86"/>
    <w:family w:val="auto"/>
    <w:pitch w:val="default"/>
    <w:sig w:usb0="00000000" w:usb1="00000000" w:usb2="00000000" w:usb3="00000000" w:csb0="0004009F" w:csb1="DFD70000"/>
  </w:font>
  <w:font w:name="MS PGothic">
    <w:panose1 w:val="020B0600070205080204"/>
    <w:charset w:val="80"/>
    <w:family w:val="auto"/>
    <w:pitch w:val="default"/>
    <w:sig w:usb0="E00002FF" w:usb1="6AC7FDFB" w:usb2="00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叶根友钢笔行书-个人版">
    <w:altName w:val="宋体"/>
    <w:panose1 w:val="02010601030101010101"/>
    <w:charset w:val="86"/>
    <w:family w:val="auto"/>
    <w:pitch w:val="default"/>
    <w:sig w:usb0="00000000" w:usb1="00000000" w:usb2="00000000" w:usb3="00000000" w:csb0="00040000" w:csb1="00000000"/>
  </w:font>
  <w:font w:name="TT-JTC淡斎草書「濃」">
    <w:altName w:val="MS Mincho"/>
    <w:panose1 w:val="00000009000000000000"/>
    <w:charset w:val="80"/>
    <w:family w:val="auto"/>
    <w:pitch w:val="default"/>
    <w:sig w:usb0="00000000" w:usb1="00000000" w:usb2="00000000" w:usb3="00000000" w:csb0="00020000" w:csb1="00000000"/>
  </w:font>
  <w:font w:name="华文行楷">
    <w:altName w:val="微软雅黑"/>
    <w:panose1 w:val="02010800040101010101"/>
    <w:charset w:val="86"/>
    <w:family w:val="auto"/>
    <w:pitch w:val="default"/>
    <w:sig w:usb0="00000000" w:usb1="00000000" w:usb2="00000000" w:usb3="00000000" w:csb0="00040000" w:csb1="00000000"/>
  </w:font>
  <w:font w:name="华文琥珀">
    <w:altName w:val="宋体"/>
    <w:panose1 w:val="02010800040101010101"/>
    <w:charset w:val="86"/>
    <w:family w:val="auto"/>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幼圆">
    <w:altName w:val="宋体"/>
    <w:panose1 w:val="02010509060101010101"/>
    <w:charset w:val="86"/>
    <w:family w:val="auto"/>
    <w:pitch w:val="default"/>
    <w:sig w:usb0="00000000" w:usb1="00000000" w:usb2="00000000" w:usb3="00000000" w:csb0="00040000" w:csb1="00000000"/>
  </w:font>
  <w:font w:name="微软雅黑 Light">
    <w:altName w:val="黑体"/>
    <w:panose1 w:val="020B0502040204020203"/>
    <w:charset w:val="86"/>
    <w:family w:val="auto"/>
    <w:pitch w:val="default"/>
    <w:sig w:usb0="00000000" w:usb1="00000000" w:usb2="00000016" w:usb3="00000000" w:csb0="0004001F" w:csb1="00000000"/>
  </w:font>
  <w:font w:name="方正姚体">
    <w:altName w:val="宋体"/>
    <w:panose1 w:val="02010601030101010101"/>
    <w:charset w:val="86"/>
    <w:family w:val="auto"/>
    <w:pitch w:val="default"/>
    <w:sig w:usb0="00000000" w:usb1="0000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MS UI Gothic">
    <w:panose1 w:val="020B0600070205080204"/>
    <w:charset w:val="80"/>
    <w:family w:val="auto"/>
    <w:pitch w:val="default"/>
    <w:sig w:usb0="E00002FF" w:usb1="6AC7FDFB" w:usb2="00000012" w:usb3="00000000" w:csb0="4002009F" w:csb1="DFD70000"/>
  </w:font>
  <w:font w:name="PMingLiU-ExtB">
    <w:panose1 w:val="02020500000000000000"/>
    <w:charset w:val="88"/>
    <w:family w:val="auto"/>
    <w:pitch w:val="default"/>
    <w:sig w:usb0="8000002F" w:usb1="02000008" w:usb2="00000000" w:usb3="00000000" w:csb0="00100001" w:csb1="00000000"/>
  </w:font>
  <w:font w:name="Yu Gothic">
    <w:altName w:val="Meiryo UI"/>
    <w:panose1 w:val="020B0400000000000000"/>
    <w:charset w:val="80"/>
    <w:family w:val="auto"/>
    <w:pitch w:val="default"/>
    <w:sig w:usb0="00000000" w:usb1="00000000" w:usb2="00000016" w:usb3="00000000" w:csb0="2002009F" w:csb1="00000000"/>
  </w:font>
  <w:font w:name="Yu Gothic Light">
    <w:altName w:val="Meiryo UI"/>
    <w:panose1 w:val="020B0300000000000000"/>
    <w:charset w:val="80"/>
    <w:family w:val="auto"/>
    <w:pitch w:val="default"/>
    <w:sig w:usb0="00000000" w:usb1="00000000" w:usb2="00000016" w:usb3="00000000" w:csb0="2002009F" w:csb1="00000000"/>
  </w:font>
  <w:font w:name="Yu Gothic Medium">
    <w:altName w:val="Meiryo UI"/>
    <w:panose1 w:val="020B0500000000000000"/>
    <w:charset w:val="80"/>
    <w:family w:val="auto"/>
    <w:pitch w:val="default"/>
    <w:sig w:usb0="00000000" w:usb1="00000000" w:usb2="00000016" w:usb3="00000000" w:csb0="2002009F" w:csb1="00000000"/>
  </w:font>
  <w:font w:name="Yu Gothic UI">
    <w:altName w:val="Meiryo UI"/>
    <w:panose1 w:val="020B0500000000000000"/>
    <w:charset w:val="80"/>
    <w:family w:val="auto"/>
    <w:pitch w:val="default"/>
    <w:sig w:usb0="00000000" w:usb1="00000000" w:usb2="00000016" w:usb3="00000000" w:csb0="2002009F" w:csb1="00000000"/>
  </w:font>
  <w:font w:name="Yu Gothic UI Light">
    <w:altName w:val="Meiryo UI"/>
    <w:panose1 w:val="020B0300000000000000"/>
    <w:charset w:val="80"/>
    <w:family w:val="auto"/>
    <w:pitch w:val="default"/>
    <w:sig w:usb0="00000000" w:usb1="00000000" w:usb2="00000016" w:usb3="00000000" w:csb0="2002009F" w:csb1="00000000"/>
  </w:font>
  <w:font w:name="Yu Gothic UI Semibold">
    <w:altName w:val="Meiryo UI"/>
    <w:panose1 w:val="020B0700000000000000"/>
    <w:charset w:val="80"/>
    <w:family w:val="auto"/>
    <w:pitch w:val="default"/>
    <w:sig w:usb0="00000000" w:usb1="00000000" w:usb2="00000016" w:usb3="00000000" w:csb0="2002009F" w:csb1="00000000"/>
  </w:font>
  <w:font w:name="AIGDT">
    <w:panose1 w:val="00000400000000000000"/>
    <w:charset w:val="00"/>
    <w:family w:val="auto"/>
    <w:pitch w:val="default"/>
    <w:sig w:usb0="00000000" w:usb1="00000000" w:usb2="00000000" w:usb3="00000000" w:csb0="80000000" w:csb1="00000000"/>
  </w:font>
  <w:font w:name="Arial Black">
    <w:panose1 w:val="020B0A04020102020204"/>
    <w:charset w:val="00"/>
    <w:family w:val="auto"/>
    <w:pitch w:val="default"/>
    <w:sig w:usb0="00000287" w:usb1="00000000" w:usb2="00000000" w:usb3="00000000" w:csb0="2000009F" w:csb1="DFD70000"/>
  </w:font>
  <w:font w:name="BankGothic Lt BT">
    <w:panose1 w:val="020B0607020203060204"/>
    <w:charset w:val="00"/>
    <w:family w:val="auto"/>
    <w:pitch w:val="default"/>
    <w:sig w:usb0="00000000" w:usb1="00000000" w:usb2="00000000" w:usb3="00000000" w:csb0="00000000" w:csb1="00000000"/>
  </w:font>
  <w:font w:name="Arial Rounded MT Bold">
    <w:altName w:val="Arial"/>
    <w:panose1 w:val="020F0704030504030204"/>
    <w:charset w:val="00"/>
    <w:family w:val="auto"/>
    <w:pitch w:val="default"/>
    <w:sig w:usb0="00000000" w:usb1="00000000" w:usb2="00000000" w:usb3="00000000" w:csb0="20000001" w:csb1="00000000"/>
  </w:font>
  <w:font w:name="Arial Narrow">
    <w:altName w:val="Arial"/>
    <w:panose1 w:val="020B0606020202030204"/>
    <w:charset w:val="00"/>
    <w:family w:val="auto"/>
    <w:pitch w:val="default"/>
    <w:sig w:usb0="00000000" w:usb1="00000000" w:usb2="00000000" w:usb3="00000000" w:csb0="2000009F" w:csb1="DFD70000"/>
  </w:font>
  <w:font w:name="verdana,ˎ̥">
    <w:altName w:val="Times New Roman"/>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华文彩云">
    <w:altName w:val="微软雅黑"/>
    <w:panose1 w:val="0201080004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华文新魏">
    <w:altName w:val="宋体"/>
    <w:panose1 w:val="0201080004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MS Mincho">
    <w:panose1 w:val="02020609040205080304"/>
    <w:charset w:val="80"/>
    <w:family w:val="auto"/>
    <w:pitch w:val="default"/>
    <w:sig w:usb0="E00002FF" w:usb1="6AC7FDFB" w:usb2="00000012" w:usb3="00000000" w:csb0="4002009F" w:csb1="DFD70000"/>
  </w:font>
  <w:font w:name="Meiryo UI">
    <w:panose1 w:val="020B0604030504040204"/>
    <w:charset w:val="80"/>
    <w:family w:val="auto"/>
    <w:pitch w:val="default"/>
    <w:sig w:usb0="E10102FF" w:usb1="EAC7FFFF" w:usb2="00010012" w:usb3="00000000" w:csb0="6002009F" w:csb1="DFD70000"/>
  </w:font>
  <w:font w:name="Dotum">
    <w:panose1 w:val="020B0600000101010101"/>
    <w:charset w:val="81"/>
    <w:family w:val="swiss"/>
    <w:pitch w:val="default"/>
    <w:sig w:usb0="B00002AF" w:usb1="69D77CFB" w:usb2="00000030" w:usb3="00000000" w:csb0="4008009F" w:csb1="DFD70000"/>
  </w:font>
  <w:font w:name="长城楷体">
    <w:altName w:val="宋体"/>
    <w:panose1 w:val="02070309020205020404"/>
    <w:charset w:val="00"/>
    <w:family w:val="modern"/>
    <w:pitch w:val="default"/>
    <w:sig w:usb0="00000000" w:usb1="00000000" w:usb2="00000000"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LF Song">
    <w:altName w:val="Times New Roman"/>
    <w:panose1 w:val="00000000000000000000"/>
    <w:charset w:val="00"/>
    <w:family w:val="auto"/>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文鼎CS大宋">
    <w:altName w:val="宋体"/>
    <w:panose1 w:val="02010609010101010101"/>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4031872"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二</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CHINESENUM3 \* MERGEFORMAT </w:instrText>
                          </w:r>
                          <w:r>
                            <w:rPr>
                              <w:rFonts w:hint="eastAsia"/>
                              <w:lang w:eastAsia="zh-CN"/>
                            </w:rPr>
                            <w:fldChar w:fldCharType="separate"/>
                          </w:r>
                          <w:r>
                            <w:rPr>
                              <w:rFonts w:hint="eastAsia"/>
                              <w:lang w:eastAsia="zh-CN"/>
                            </w:rPr>
                            <w:t>四十七</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4031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二</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CHINESENUM3 \* MERGEFORMAT </w:instrText>
                    </w:r>
                    <w:r>
                      <w:rPr>
                        <w:rFonts w:hint="eastAsia"/>
                        <w:lang w:eastAsia="zh-CN"/>
                      </w:rPr>
                      <w:fldChar w:fldCharType="separate"/>
                    </w:r>
                    <w:r>
                      <w:rPr>
                        <w:rFonts w:hint="eastAsia"/>
                        <w:lang w:eastAsia="zh-CN"/>
                      </w:rPr>
                      <w:t>四十七</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80" w:firstLineChars="200"/>
      <w:rPr>
        <w:rFonts w:hint="eastAsia" w:eastAsiaTheme="minorEastAsia"/>
        <w:i/>
        <w:iCs/>
        <w:sz w:val="24"/>
        <w:szCs w:val="24"/>
        <w:lang w:eastAsia="zh-CN"/>
      </w:rPr>
    </w:pPr>
    <w:r>
      <w:rPr>
        <w:sz w:val="24"/>
        <w:lang w:val="en-US"/>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一</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一</w:t>
                    </w:r>
                    <w:r>
                      <w:rPr>
                        <w:rFonts w:hint="eastAsia"/>
                        <w:lang w:eastAsia="zh-CN"/>
                      </w:rPr>
                      <w:fldChar w:fldCharType="end"/>
                    </w:r>
                    <w:r>
                      <w:rPr>
                        <w:rFonts w:hint="eastAsia"/>
                        <w:lang w:eastAsia="zh-CN"/>
                      </w:rPr>
                      <w:t xml:space="preserve"> 页</w:t>
                    </w:r>
                  </w:p>
                </w:txbxContent>
              </v:textbox>
            </v:shape>
          </w:pict>
        </mc:Fallback>
      </mc:AlternateContent>
    </w:r>
    <w:r>
      <w:rPr>
        <w:i/>
        <w:iCs/>
        <w:sz w:val="24"/>
        <w:szCs w:val="24"/>
        <w:lang w:val="en-US"/>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b4U0VAgAAFw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sb4U0VAgAAFw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Theme="minorEastAsia"/>
                        <w:lang w:eastAsia="zh-CN"/>
                      </w:rPr>
                    </w:pPr>
                  </w:p>
                </w:txbxContent>
              </v:textbox>
            </v:shape>
          </w:pict>
        </mc:Fallback>
      </mc:AlternateContent>
    </w:r>
    <w:r>
      <w:rPr>
        <w:rFonts w:hint="eastAsia"/>
        <w:i/>
        <w:iCs/>
        <w:sz w:val="24"/>
        <w:szCs w:val="24"/>
        <w:lang w:val="en-US" w:eastAsia="zh-CN"/>
      </w:rPr>
      <w:t>水电安装</w:t>
    </w:r>
    <w:r>
      <w:rPr>
        <w:rFonts w:hint="eastAsia"/>
        <w:i/>
        <w:iCs/>
        <w:sz w:val="24"/>
        <w:szCs w:val="24"/>
        <w:lang w:eastAsia="zh-CN"/>
      </w:rPr>
      <w:t>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B81399"/>
    <w:multiLevelType w:val="singleLevel"/>
    <w:tmpl w:val="59B81399"/>
    <w:lvl w:ilvl="0" w:tentative="0">
      <w:start w:val="1"/>
      <w:numFmt w:val="bullet"/>
      <w:lvlText w:val=""/>
      <w:lvlJc w:val="left"/>
      <w:pPr>
        <w:ind w:left="420" w:leftChars="0" w:hanging="420" w:firstLineChars="0"/>
      </w:pPr>
      <w:rPr>
        <w:rFonts w:hint="default" w:ascii="Wingdings" w:hAnsi="Wingdings"/>
      </w:rPr>
    </w:lvl>
  </w:abstractNum>
  <w:abstractNum w:abstractNumId="1">
    <w:nsid w:val="59B81B0A"/>
    <w:multiLevelType w:val="singleLevel"/>
    <w:tmpl w:val="59B81B0A"/>
    <w:lvl w:ilvl="0" w:tentative="0">
      <w:start w:val="1"/>
      <w:numFmt w:val="bullet"/>
      <w:lvlText w:val=""/>
      <w:lvlJc w:val="left"/>
      <w:pPr>
        <w:ind w:left="420" w:leftChars="0" w:hanging="420" w:firstLineChars="0"/>
      </w:pPr>
      <w:rPr>
        <w:rFonts w:hint="default" w:ascii="Wingdings" w:hAnsi="Wingdings"/>
      </w:rPr>
    </w:lvl>
  </w:abstractNum>
  <w:abstractNum w:abstractNumId="2">
    <w:nsid w:val="59DAB0FB"/>
    <w:multiLevelType w:val="singleLevel"/>
    <w:tmpl w:val="59DAB0FB"/>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B6BDB"/>
    <w:rsid w:val="015C1C22"/>
    <w:rsid w:val="01AB7E61"/>
    <w:rsid w:val="02A128B6"/>
    <w:rsid w:val="03365019"/>
    <w:rsid w:val="035470C8"/>
    <w:rsid w:val="0579200D"/>
    <w:rsid w:val="06922A57"/>
    <w:rsid w:val="07ED5C19"/>
    <w:rsid w:val="08513ADB"/>
    <w:rsid w:val="087C5776"/>
    <w:rsid w:val="08AE191C"/>
    <w:rsid w:val="08CE38FA"/>
    <w:rsid w:val="09892830"/>
    <w:rsid w:val="09B041A0"/>
    <w:rsid w:val="09B167D4"/>
    <w:rsid w:val="09B7026A"/>
    <w:rsid w:val="09F6529E"/>
    <w:rsid w:val="0A9D3E4E"/>
    <w:rsid w:val="0B4124EE"/>
    <w:rsid w:val="0C637B59"/>
    <w:rsid w:val="0CDC1622"/>
    <w:rsid w:val="0D453C86"/>
    <w:rsid w:val="0DCE3CC5"/>
    <w:rsid w:val="0DEA1A14"/>
    <w:rsid w:val="0E0A3E25"/>
    <w:rsid w:val="0E0A55AD"/>
    <w:rsid w:val="0E1060BD"/>
    <w:rsid w:val="0EDE6F06"/>
    <w:rsid w:val="0F6D06D3"/>
    <w:rsid w:val="10731405"/>
    <w:rsid w:val="109425A3"/>
    <w:rsid w:val="113F32E0"/>
    <w:rsid w:val="11D54519"/>
    <w:rsid w:val="11E42194"/>
    <w:rsid w:val="11E66D8D"/>
    <w:rsid w:val="12591197"/>
    <w:rsid w:val="13256B0A"/>
    <w:rsid w:val="133517D1"/>
    <w:rsid w:val="13EF3C94"/>
    <w:rsid w:val="140B778E"/>
    <w:rsid w:val="147F7E5D"/>
    <w:rsid w:val="14EA6B58"/>
    <w:rsid w:val="151F6F18"/>
    <w:rsid w:val="15961B3B"/>
    <w:rsid w:val="15E6763A"/>
    <w:rsid w:val="16681EB5"/>
    <w:rsid w:val="17CB1FE3"/>
    <w:rsid w:val="181332FE"/>
    <w:rsid w:val="18252D4E"/>
    <w:rsid w:val="186B5ECF"/>
    <w:rsid w:val="18E15D94"/>
    <w:rsid w:val="1A5D096F"/>
    <w:rsid w:val="1AEE5F39"/>
    <w:rsid w:val="1B142C1A"/>
    <w:rsid w:val="1B632445"/>
    <w:rsid w:val="1CE27392"/>
    <w:rsid w:val="1DB94DE3"/>
    <w:rsid w:val="1F1901B2"/>
    <w:rsid w:val="1F6739B3"/>
    <w:rsid w:val="1FCD081C"/>
    <w:rsid w:val="20953EB8"/>
    <w:rsid w:val="2105576E"/>
    <w:rsid w:val="221D1D34"/>
    <w:rsid w:val="22797409"/>
    <w:rsid w:val="22E15B85"/>
    <w:rsid w:val="22F27EDF"/>
    <w:rsid w:val="234B3CC6"/>
    <w:rsid w:val="24454666"/>
    <w:rsid w:val="258B2D8B"/>
    <w:rsid w:val="25E468E8"/>
    <w:rsid w:val="26D0619A"/>
    <w:rsid w:val="27A467DC"/>
    <w:rsid w:val="2A232ACA"/>
    <w:rsid w:val="2A8E792C"/>
    <w:rsid w:val="2AB54B40"/>
    <w:rsid w:val="2B2D5F40"/>
    <w:rsid w:val="2BD07691"/>
    <w:rsid w:val="2C2A2CFE"/>
    <w:rsid w:val="2C94461E"/>
    <w:rsid w:val="2D8174A0"/>
    <w:rsid w:val="2E07799D"/>
    <w:rsid w:val="2E0E737E"/>
    <w:rsid w:val="2E631CE3"/>
    <w:rsid w:val="2EB62882"/>
    <w:rsid w:val="2EE6357F"/>
    <w:rsid w:val="2F3E24AE"/>
    <w:rsid w:val="2F94410D"/>
    <w:rsid w:val="3036562B"/>
    <w:rsid w:val="306E25B2"/>
    <w:rsid w:val="30881BFC"/>
    <w:rsid w:val="30893478"/>
    <w:rsid w:val="311D260E"/>
    <w:rsid w:val="32C35F92"/>
    <w:rsid w:val="32DD0E49"/>
    <w:rsid w:val="33EC1F73"/>
    <w:rsid w:val="3472249F"/>
    <w:rsid w:val="34875F11"/>
    <w:rsid w:val="34B67137"/>
    <w:rsid w:val="35A67363"/>
    <w:rsid w:val="35D3595B"/>
    <w:rsid w:val="371E1F88"/>
    <w:rsid w:val="376A294D"/>
    <w:rsid w:val="377D4E10"/>
    <w:rsid w:val="37CC21A2"/>
    <w:rsid w:val="37DE6113"/>
    <w:rsid w:val="39324C78"/>
    <w:rsid w:val="396C0318"/>
    <w:rsid w:val="39EE6ABF"/>
    <w:rsid w:val="3A5C75D9"/>
    <w:rsid w:val="3AC34253"/>
    <w:rsid w:val="3B22493D"/>
    <w:rsid w:val="3B257136"/>
    <w:rsid w:val="3B8C7296"/>
    <w:rsid w:val="3C2B52BB"/>
    <w:rsid w:val="3CF366B9"/>
    <w:rsid w:val="3D992026"/>
    <w:rsid w:val="3D9B49E6"/>
    <w:rsid w:val="3D9F286A"/>
    <w:rsid w:val="3DB2186F"/>
    <w:rsid w:val="3E130F09"/>
    <w:rsid w:val="3FB34F15"/>
    <w:rsid w:val="3FB44EED"/>
    <w:rsid w:val="3FCA0420"/>
    <w:rsid w:val="3FF328E1"/>
    <w:rsid w:val="400D7065"/>
    <w:rsid w:val="40E40E7D"/>
    <w:rsid w:val="4150555D"/>
    <w:rsid w:val="41695159"/>
    <w:rsid w:val="435F2F73"/>
    <w:rsid w:val="44F71DA3"/>
    <w:rsid w:val="45543ABD"/>
    <w:rsid w:val="458E3D45"/>
    <w:rsid w:val="45BB6874"/>
    <w:rsid w:val="473007F1"/>
    <w:rsid w:val="47786605"/>
    <w:rsid w:val="4824111D"/>
    <w:rsid w:val="48FE6BEF"/>
    <w:rsid w:val="49150B6E"/>
    <w:rsid w:val="49892755"/>
    <w:rsid w:val="4A5879A9"/>
    <w:rsid w:val="4AE9583B"/>
    <w:rsid w:val="4B442808"/>
    <w:rsid w:val="4BC469A8"/>
    <w:rsid w:val="4C2039AF"/>
    <w:rsid w:val="4C830FBC"/>
    <w:rsid w:val="4D1507F7"/>
    <w:rsid w:val="4D612B6C"/>
    <w:rsid w:val="4DB74549"/>
    <w:rsid w:val="4DD0708F"/>
    <w:rsid w:val="4DE2366B"/>
    <w:rsid w:val="4ED1167F"/>
    <w:rsid w:val="50726489"/>
    <w:rsid w:val="5111470C"/>
    <w:rsid w:val="515468BB"/>
    <w:rsid w:val="51C32098"/>
    <w:rsid w:val="52AE24DB"/>
    <w:rsid w:val="52B57705"/>
    <w:rsid w:val="52E7160C"/>
    <w:rsid w:val="52EB0607"/>
    <w:rsid w:val="541C7B38"/>
    <w:rsid w:val="542634E3"/>
    <w:rsid w:val="54774C87"/>
    <w:rsid w:val="55A807D2"/>
    <w:rsid w:val="56AD10CF"/>
    <w:rsid w:val="56C34558"/>
    <w:rsid w:val="578D4C1D"/>
    <w:rsid w:val="599E42B7"/>
    <w:rsid w:val="59B6056B"/>
    <w:rsid w:val="59D270EE"/>
    <w:rsid w:val="5A2C1B05"/>
    <w:rsid w:val="5A5246E6"/>
    <w:rsid w:val="5AD3735D"/>
    <w:rsid w:val="5C8D74C9"/>
    <w:rsid w:val="5CE152D8"/>
    <w:rsid w:val="5CE95E4D"/>
    <w:rsid w:val="5E5A1DE2"/>
    <w:rsid w:val="5E6F265D"/>
    <w:rsid w:val="5E765146"/>
    <w:rsid w:val="5ED77183"/>
    <w:rsid w:val="5EE07B9C"/>
    <w:rsid w:val="5F371698"/>
    <w:rsid w:val="60192A84"/>
    <w:rsid w:val="60F559BC"/>
    <w:rsid w:val="61AC035E"/>
    <w:rsid w:val="62184EC5"/>
    <w:rsid w:val="6258076B"/>
    <w:rsid w:val="62A3142E"/>
    <w:rsid w:val="62BC1356"/>
    <w:rsid w:val="62D46D44"/>
    <w:rsid w:val="6419724F"/>
    <w:rsid w:val="64AC5AE7"/>
    <w:rsid w:val="651F7CC4"/>
    <w:rsid w:val="65670A61"/>
    <w:rsid w:val="658D12CD"/>
    <w:rsid w:val="65995FD8"/>
    <w:rsid w:val="66F97AF1"/>
    <w:rsid w:val="677229EA"/>
    <w:rsid w:val="68292A3B"/>
    <w:rsid w:val="686B74D4"/>
    <w:rsid w:val="689745E2"/>
    <w:rsid w:val="68D741FE"/>
    <w:rsid w:val="693A02E8"/>
    <w:rsid w:val="6A4330DF"/>
    <w:rsid w:val="6A623F6B"/>
    <w:rsid w:val="6B3022C7"/>
    <w:rsid w:val="6BA80603"/>
    <w:rsid w:val="6BAB2B53"/>
    <w:rsid w:val="6CD11247"/>
    <w:rsid w:val="6DE4372F"/>
    <w:rsid w:val="6E3949A4"/>
    <w:rsid w:val="6E900B3C"/>
    <w:rsid w:val="6F2E71F9"/>
    <w:rsid w:val="6FA92325"/>
    <w:rsid w:val="70B46309"/>
    <w:rsid w:val="70CE613A"/>
    <w:rsid w:val="7230263C"/>
    <w:rsid w:val="740B66D3"/>
    <w:rsid w:val="74446ACD"/>
    <w:rsid w:val="74CC511C"/>
    <w:rsid w:val="75BF3121"/>
    <w:rsid w:val="76A04DBD"/>
    <w:rsid w:val="77952517"/>
    <w:rsid w:val="77A6748C"/>
    <w:rsid w:val="77CC030A"/>
    <w:rsid w:val="78504D0F"/>
    <w:rsid w:val="78536B26"/>
    <w:rsid w:val="79762D17"/>
    <w:rsid w:val="79ED661F"/>
    <w:rsid w:val="7A062BF9"/>
    <w:rsid w:val="7B352C59"/>
    <w:rsid w:val="7C1B6BDB"/>
    <w:rsid w:val="7C3259A1"/>
    <w:rsid w:val="7D336E67"/>
    <w:rsid w:val="7D437FBA"/>
    <w:rsid w:val="7D772C32"/>
    <w:rsid w:val="7EDA4FA8"/>
    <w:rsid w:val="7F27620E"/>
    <w:rsid w:val="7FD1320F"/>
    <w:rsid w:val="7FDC1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jc w:val="center"/>
      <w:outlineLvl w:val="0"/>
    </w:pPr>
    <w:rPr>
      <w:rFonts w:eastAsia="Dotum"/>
      <w:b/>
      <w:color w:val="FF0000"/>
      <w:sz w:val="44"/>
      <w:szCs w:val="44"/>
    </w:rPr>
  </w:style>
  <w:style w:type="paragraph" w:styleId="3">
    <w:name w:val="heading 3"/>
    <w:basedOn w:val="1"/>
    <w:next w:val="1"/>
    <w:unhideWhenUsed/>
    <w:qFormat/>
    <w:uiPriority w:val="0"/>
    <w:pPr>
      <w:keepNext/>
      <w:outlineLvl w:val="2"/>
    </w:pPr>
    <w:rPr>
      <w:rFonts w:ascii="楷体_GB2312" w:hAnsi="楷体_GB2312" w:eastAsia="楷体_GB2312"/>
      <w:b/>
      <w:color w:val="0000FF"/>
      <w:sz w:val="28"/>
    </w:rPr>
  </w:style>
  <w:style w:type="character" w:default="1" w:styleId="10">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4">
    <w:name w:val="Body Text Indent"/>
    <w:basedOn w:val="1"/>
    <w:qFormat/>
    <w:uiPriority w:val="0"/>
    <w:pPr>
      <w:overflowPunct w:val="0"/>
      <w:autoSpaceDE w:val="0"/>
      <w:autoSpaceDN w:val="0"/>
      <w:adjustRightInd w:val="0"/>
      <w:spacing w:line="440" w:lineRule="atLeast"/>
      <w:ind w:firstLine="480"/>
      <w:textAlignment w:val="baseline"/>
    </w:pPr>
    <w:rPr>
      <w:rFonts w:ascii="宋体"/>
      <w:sz w:val="24"/>
      <w:szCs w:val="20"/>
    </w:rPr>
  </w:style>
  <w:style w:type="paragraph" w:styleId="5">
    <w:name w:val="Plain Text"/>
    <w:basedOn w:val="1"/>
    <w:qFormat/>
    <w:uiPriority w:val="0"/>
    <w:rPr>
      <w:rFonts w:ascii="宋体" w:hAnsi="Courier New" w:cs="金山简魏碑"/>
      <w:szCs w:val="21"/>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8956"/>
        <w:tab w:val="left" w:pos="10076"/>
        <w:tab w:val="left" w:pos="10992"/>
        <w:tab w:val="left" w:pos="11908"/>
        <w:tab w:val="left" w:pos="12824"/>
        <w:tab w:val="left" w:pos="13740"/>
        <w:tab w:val="left" w:pos="14656"/>
      </w:tabs>
      <w:jc w:val="left"/>
    </w:pPr>
    <w:rPr>
      <w:rFonts w:ascii="Arial" w:hAnsi="Arial" w:cs="Arial"/>
      <w:sz w:val="24"/>
    </w:rPr>
  </w:style>
  <w:style w:type="paragraph" w:styleId="9">
    <w:name w:val="Normal (Web)"/>
    <w:basedOn w:val="1"/>
    <w:qFormat/>
    <w:uiPriority w:val="0"/>
    <w:rPr>
      <w:sz w:val="24"/>
    </w:rPr>
  </w:style>
  <w:style w:type="character" w:styleId="11">
    <w:name w:val="Hyperlink"/>
    <w:basedOn w:val="10"/>
    <w:qFormat/>
    <w:uiPriority w:val="0"/>
    <w:rPr>
      <w:color w:val="0000FF"/>
      <w:u w:val="single"/>
    </w:rPr>
  </w:style>
  <w:style w:type="character" w:styleId="12">
    <w:name w:val="annotation reference"/>
    <w:basedOn w:val="10"/>
    <w:qFormat/>
    <w:uiPriority w:val="0"/>
    <w:rPr>
      <w:sz w:val="21"/>
      <w:szCs w:val="21"/>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5">
    <w:name w:val="Body Text Indent 21"/>
    <w:basedOn w:val="1"/>
    <w:qFormat/>
    <w:uiPriority w:val="0"/>
    <w:pPr>
      <w:overflowPunct w:val="0"/>
      <w:autoSpaceDE w:val="0"/>
      <w:autoSpaceDN w:val="0"/>
      <w:adjustRightInd w:val="0"/>
      <w:spacing w:line="500" w:lineRule="atLeast"/>
      <w:ind w:firstLine="570"/>
      <w:textAlignment w:val="baseline"/>
    </w:pPr>
    <w:rPr>
      <w:rFonts w:ascii="宋体"/>
      <w:sz w:val="24"/>
      <w:szCs w:val="20"/>
    </w:rPr>
  </w:style>
  <w:style w:type="paragraph" w:customStyle="1" w:styleId="16">
    <w:name w:val="Body Text 21"/>
    <w:basedOn w:val="1"/>
    <w:qFormat/>
    <w:uiPriority w:val="0"/>
    <w:pPr>
      <w:overflowPunct w:val="0"/>
      <w:autoSpaceDE w:val="0"/>
      <w:autoSpaceDN w:val="0"/>
      <w:adjustRightInd w:val="0"/>
      <w:spacing w:line="440" w:lineRule="atLeast"/>
      <w:ind w:firstLine="480"/>
      <w:textAlignment w:val="baseline"/>
    </w:pPr>
    <w:rPr>
      <w:rFonts w:ascii="宋体"/>
      <w:sz w:val="24"/>
      <w:szCs w:val="20"/>
    </w:rPr>
  </w:style>
  <w:style w:type="paragraph" w:customStyle="1"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2017-09-11T12:24:00Z</dcterms:created>
  <dc:creator>tanglihua</dc:creator>
  <cp:lastModifiedBy>Fox</cp:lastModifiedBy>
  <cp:lastPrinted>2017-09-17T02:07:00Z</cp:lastPrinted>
  <dcterms:modified xsi:type="dcterms:W3CDTF">2017-12-10T10:00:29Z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